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349B" w14:textId="08F19B29" w:rsidR="00C226DD" w:rsidRPr="00A16AA1" w:rsidRDefault="00C226DD" w:rsidP="00C226DD">
      <w:pPr>
        <w:rPr>
          <w:rFonts w:ascii="Gotham" w:hAnsi="Gotham"/>
          <w:b/>
          <w:bCs/>
          <w:sz w:val="28"/>
          <w:szCs w:val="28"/>
        </w:rPr>
      </w:pPr>
      <w:r w:rsidRPr="00A16AA1">
        <w:rPr>
          <w:rFonts w:ascii="Gotham" w:hAnsi="Gotham"/>
          <w:noProof/>
        </w:rPr>
        <w:drawing>
          <wp:inline distT="0" distB="0" distL="0" distR="0" wp14:anchorId="7F825AA0" wp14:editId="51EE8435">
            <wp:extent cx="1272540" cy="919138"/>
            <wp:effectExtent l="0" t="0" r="3810" b="0"/>
            <wp:docPr id="3229586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3392" cy="926976"/>
                    </a:xfrm>
                    <a:prstGeom prst="rect">
                      <a:avLst/>
                    </a:prstGeom>
                    <a:noFill/>
                    <a:ln>
                      <a:noFill/>
                    </a:ln>
                  </pic:spPr>
                </pic:pic>
              </a:graphicData>
            </a:graphic>
          </wp:inline>
        </w:drawing>
      </w:r>
      <w:r w:rsidRPr="00A16AA1">
        <w:rPr>
          <w:rFonts w:ascii="Gotham" w:hAnsi="Gotham"/>
          <w:b/>
          <w:bCs/>
          <w:sz w:val="28"/>
          <w:szCs w:val="28"/>
        </w:rPr>
        <w:t>Compte Rendu du Conseil Syndical du 20 Janvier 2025</w:t>
      </w:r>
    </w:p>
    <w:p w14:paraId="6A68A860" w14:textId="77777777" w:rsidR="00C226DD" w:rsidRPr="00A16AA1" w:rsidRDefault="00C226DD">
      <w:pPr>
        <w:rPr>
          <w:rFonts w:ascii="Gotham" w:hAnsi="Gotham"/>
        </w:rPr>
      </w:pPr>
    </w:p>
    <w:p w14:paraId="2449983A" w14:textId="582736F1" w:rsidR="00C226DD" w:rsidRPr="00A16AA1" w:rsidRDefault="00C226DD" w:rsidP="00C226DD">
      <w:pPr>
        <w:rPr>
          <w:rFonts w:ascii="Gotham" w:hAnsi="Gotham"/>
          <w:b/>
          <w:bCs/>
        </w:rPr>
      </w:pPr>
      <w:r w:rsidRPr="00A16AA1">
        <w:rPr>
          <w:rFonts w:ascii="Gotham" w:hAnsi="Gotham"/>
          <w:b/>
          <w:bCs/>
        </w:rPr>
        <w:t xml:space="preserve">Présents : Marie-Claire BARBIER, Monique MICHAUD, Pierre CANALE, Christiane MOUCHET, Michèle LAMBERT, Christine MOUGIN, Allison MUGNIER, Samuel TOUTAIN, Olivier ROGNARD. </w:t>
      </w:r>
    </w:p>
    <w:p w14:paraId="6D52662B" w14:textId="77777777" w:rsidR="00C226DD" w:rsidRPr="00A16AA1" w:rsidRDefault="00C226DD" w:rsidP="00C226DD">
      <w:pPr>
        <w:rPr>
          <w:rFonts w:ascii="Gotham" w:hAnsi="Gotham"/>
          <w:b/>
          <w:bCs/>
        </w:rPr>
      </w:pPr>
    </w:p>
    <w:p w14:paraId="4C53E684" w14:textId="2C68E5A3" w:rsidR="00C226DD" w:rsidRPr="00A16AA1" w:rsidRDefault="00C226DD" w:rsidP="00C226DD">
      <w:pPr>
        <w:rPr>
          <w:rFonts w:ascii="Gotham" w:hAnsi="Gotham"/>
          <w:b/>
          <w:bCs/>
        </w:rPr>
      </w:pPr>
      <w:r w:rsidRPr="00A16AA1">
        <w:rPr>
          <w:rFonts w:ascii="Gotham" w:hAnsi="Gotham"/>
          <w:b/>
          <w:bCs/>
        </w:rPr>
        <w:t>Débat d’Orientation budgétaire :</w:t>
      </w:r>
    </w:p>
    <w:p w14:paraId="2945F1A2" w14:textId="34419BBC" w:rsidR="00C226DD" w:rsidRPr="00143316" w:rsidRDefault="00C226DD" w:rsidP="00143316">
      <w:pPr>
        <w:jc w:val="both"/>
        <w:rPr>
          <w:rFonts w:ascii="Gotham" w:hAnsi="Gotham"/>
        </w:rPr>
      </w:pPr>
      <w:r w:rsidRPr="00143316">
        <w:rPr>
          <w:rFonts w:ascii="Gotham" w:hAnsi="Gotham"/>
        </w:rPr>
        <w:t xml:space="preserve">Les échanges entre communes sont importants pour construire le budget à venir. Du fait, des différents projets en cours et de la nécessité de disposer de la trésorerie suffisante, l’organisation sera atypique cette année avec le vote du budget prévisionnel prévu le 24 février, avec un vote du compte administratif avant la fin </w:t>
      </w:r>
      <w:proofErr w:type="gramStart"/>
      <w:r w:rsidRPr="00143316">
        <w:rPr>
          <w:rFonts w:ascii="Gotham" w:hAnsi="Gotham"/>
        </w:rPr>
        <w:t>Juin</w:t>
      </w:r>
      <w:proofErr w:type="gramEnd"/>
      <w:r w:rsidRPr="00143316">
        <w:rPr>
          <w:rFonts w:ascii="Gotham" w:hAnsi="Gotham"/>
        </w:rPr>
        <w:t xml:space="preserve"> et un vote d’un BS 2025 pour réintégrer les résultats.</w:t>
      </w:r>
    </w:p>
    <w:p w14:paraId="7D202381" w14:textId="49E490FC" w:rsidR="00140895" w:rsidRPr="00143316" w:rsidRDefault="00C226DD" w:rsidP="00143316">
      <w:pPr>
        <w:jc w:val="both"/>
        <w:rPr>
          <w:rFonts w:ascii="Gotham" w:hAnsi="Gotham"/>
        </w:rPr>
      </w:pPr>
      <w:r w:rsidRPr="00143316">
        <w:rPr>
          <w:rFonts w:ascii="Gotham" w:hAnsi="Gotham"/>
        </w:rPr>
        <w:t>Des éléments des comptes administratifs 2023 et 2024 sont comparés pour conclure que les dépenses sont en baisse et les dépenses en hausse</w:t>
      </w:r>
      <w:r w:rsidR="00140895" w:rsidRPr="00143316">
        <w:rPr>
          <w:rFonts w:ascii="Gotham" w:hAnsi="Gotham"/>
        </w:rPr>
        <w:t xml:space="preserve"> avec un écart significatif à la hausse du chapitre 61 qui est en cours d’analyse. </w:t>
      </w:r>
    </w:p>
    <w:p w14:paraId="2C6A2A68" w14:textId="609AF540" w:rsidR="00C226DD" w:rsidRPr="00143316" w:rsidRDefault="00140895" w:rsidP="00143316">
      <w:pPr>
        <w:jc w:val="both"/>
        <w:rPr>
          <w:rFonts w:ascii="Gotham" w:hAnsi="Gotham"/>
        </w:rPr>
      </w:pPr>
      <w:r w:rsidRPr="00143316">
        <w:rPr>
          <w:rFonts w:ascii="Gotham" w:hAnsi="Gotham"/>
        </w:rPr>
        <w:t>Les recettes familles sont plus basses 181.282,31</w:t>
      </w:r>
      <w:r w:rsidRPr="00143316">
        <w:rPr>
          <w:rFonts w:ascii="Times New Roman" w:hAnsi="Times New Roman" w:cs="Times New Roman"/>
        </w:rPr>
        <w:t>€</w:t>
      </w:r>
      <w:r w:rsidRPr="00143316">
        <w:rPr>
          <w:rFonts w:ascii="Gotham" w:hAnsi="Gotham"/>
        </w:rPr>
        <w:t xml:space="preserve"> que pr</w:t>
      </w:r>
      <w:r w:rsidRPr="00143316">
        <w:rPr>
          <w:rFonts w:ascii="Gotham" w:hAnsi="Gotham" w:cs="Gotham"/>
        </w:rPr>
        <w:t>é</w:t>
      </w:r>
      <w:r w:rsidRPr="00143316">
        <w:rPr>
          <w:rFonts w:ascii="Gotham" w:hAnsi="Gotham"/>
        </w:rPr>
        <w:t>vues au budget pr</w:t>
      </w:r>
      <w:r w:rsidRPr="00143316">
        <w:rPr>
          <w:rFonts w:ascii="Gotham" w:hAnsi="Gotham" w:cs="Gotham"/>
        </w:rPr>
        <w:t>é</w:t>
      </w:r>
      <w:r w:rsidRPr="00143316">
        <w:rPr>
          <w:rFonts w:ascii="Gotham" w:hAnsi="Gotham"/>
        </w:rPr>
        <w:t>visionnel 2024</w:t>
      </w:r>
      <w:r w:rsidRPr="00143316">
        <w:rPr>
          <w:rFonts w:ascii="Gotham" w:hAnsi="Gotham" w:cs="Gotham"/>
        </w:rPr>
        <w:t> </w:t>
      </w:r>
      <w:r w:rsidRPr="00143316">
        <w:rPr>
          <w:rFonts w:ascii="Gotham" w:hAnsi="Gotham"/>
        </w:rPr>
        <w:t>: 196.799</w:t>
      </w:r>
      <w:r w:rsidRPr="00143316">
        <w:rPr>
          <w:rFonts w:ascii="Times New Roman" w:hAnsi="Times New Roman" w:cs="Times New Roman"/>
        </w:rPr>
        <w:t>€</w:t>
      </w:r>
      <w:r w:rsidRPr="00143316">
        <w:rPr>
          <w:rFonts w:ascii="Gotham" w:hAnsi="Gotham"/>
        </w:rPr>
        <w:t>, tandis que les participations des communes au chapitre 74 pr</w:t>
      </w:r>
      <w:r w:rsidRPr="00143316">
        <w:rPr>
          <w:rFonts w:ascii="Gotham" w:hAnsi="Gotham" w:cs="Gotham"/>
        </w:rPr>
        <w:t>é</w:t>
      </w:r>
      <w:r w:rsidRPr="00143316">
        <w:rPr>
          <w:rFonts w:ascii="Gotham" w:hAnsi="Gotham"/>
        </w:rPr>
        <w:t xml:space="preserve">vues </w:t>
      </w:r>
      <w:r w:rsidRPr="00143316">
        <w:rPr>
          <w:rFonts w:ascii="Gotham" w:hAnsi="Gotham" w:cs="Gotham"/>
        </w:rPr>
        <w:t>é</w:t>
      </w:r>
      <w:r w:rsidRPr="00143316">
        <w:rPr>
          <w:rFonts w:ascii="Gotham" w:hAnsi="Gotham"/>
        </w:rPr>
        <w:t>taient de 1073.004,75</w:t>
      </w:r>
      <w:r w:rsidRPr="00143316">
        <w:rPr>
          <w:rFonts w:ascii="Times New Roman" w:hAnsi="Times New Roman" w:cs="Times New Roman"/>
        </w:rPr>
        <w:t>€</w:t>
      </w:r>
      <w:r w:rsidRPr="00143316">
        <w:rPr>
          <w:rFonts w:ascii="Gotham" w:hAnsi="Gotham"/>
        </w:rPr>
        <w:t xml:space="preserve"> alors qu</w:t>
      </w:r>
      <w:r w:rsidRPr="00143316">
        <w:rPr>
          <w:rFonts w:ascii="Gotham" w:hAnsi="Gotham" w:cs="Gotham"/>
        </w:rPr>
        <w:t>’</w:t>
      </w:r>
      <w:r w:rsidRPr="00143316">
        <w:rPr>
          <w:rFonts w:ascii="Gotham" w:hAnsi="Gotham"/>
        </w:rPr>
        <w:t>elles sont de CAA de 1.066.336,81</w:t>
      </w:r>
      <w:r w:rsidRPr="00143316">
        <w:rPr>
          <w:rFonts w:ascii="Times New Roman" w:hAnsi="Times New Roman" w:cs="Times New Roman"/>
        </w:rPr>
        <w:t>€</w:t>
      </w:r>
      <w:r w:rsidRPr="00143316">
        <w:rPr>
          <w:rFonts w:ascii="Gotham" w:hAnsi="Gotham"/>
        </w:rPr>
        <w:t>.</w:t>
      </w:r>
    </w:p>
    <w:p w14:paraId="322B4745" w14:textId="36584E54" w:rsidR="00140895" w:rsidRPr="00143316" w:rsidRDefault="00140895" w:rsidP="00143316">
      <w:pPr>
        <w:jc w:val="both"/>
        <w:rPr>
          <w:rFonts w:ascii="Gotham" w:hAnsi="Gotham"/>
        </w:rPr>
      </w:pPr>
      <w:r w:rsidRPr="00143316">
        <w:rPr>
          <w:rFonts w:ascii="Gotham" w:hAnsi="Gotham"/>
        </w:rPr>
        <w:t>Pour 2025, un suivi budgétaire service par service sera mis en place, néanmoins une hausse des cotisations CNRACL viendra augmenter les charges ainsi qu’une revalorisation du RIFSEEP inchangé depuis 2018.</w:t>
      </w:r>
    </w:p>
    <w:p w14:paraId="58052396" w14:textId="086539D2" w:rsidR="00140895" w:rsidRPr="00A16AA1" w:rsidRDefault="00140895" w:rsidP="00C226DD">
      <w:pPr>
        <w:rPr>
          <w:rFonts w:ascii="Gotham" w:hAnsi="Gotham"/>
        </w:rPr>
      </w:pPr>
      <w:r w:rsidRPr="00A16AA1">
        <w:rPr>
          <w:rFonts w:ascii="Gotham" w:hAnsi="Gotham"/>
        </w:rPr>
        <w:t>Concernant la dette, elle se résorbe et l’annuité 2025 sera de 51.787,67</w:t>
      </w:r>
      <w:r w:rsidRPr="00A16AA1">
        <w:rPr>
          <w:rFonts w:ascii="Times New Roman" w:hAnsi="Times New Roman" w:cs="Times New Roman"/>
        </w:rPr>
        <w:t>€</w:t>
      </w:r>
      <w:r w:rsidRPr="00A16AA1">
        <w:rPr>
          <w:rFonts w:ascii="Gotham" w:hAnsi="Gotham"/>
        </w:rPr>
        <w:t>.</w:t>
      </w:r>
    </w:p>
    <w:p w14:paraId="48E6429A" w14:textId="25DB496D" w:rsidR="00140895" w:rsidRPr="00A16AA1" w:rsidRDefault="00140895" w:rsidP="00C226DD">
      <w:pPr>
        <w:rPr>
          <w:rFonts w:ascii="Gotham" w:hAnsi="Gotham"/>
          <w:u w:val="single"/>
        </w:rPr>
      </w:pPr>
      <w:r w:rsidRPr="00A16AA1">
        <w:rPr>
          <w:rFonts w:ascii="Gotham" w:hAnsi="Gotham"/>
          <w:u w:val="single"/>
        </w:rPr>
        <w:t>Les projets en investissement 2025 sont :</w:t>
      </w:r>
    </w:p>
    <w:p w14:paraId="5AD4EB9F" w14:textId="790362DE" w:rsidR="00140895" w:rsidRPr="00A16AA1" w:rsidRDefault="00140895" w:rsidP="00C226DD">
      <w:pPr>
        <w:rPr>
          <w:rFonts w:ascii="Gotham" w:hAnsi="Gotham"/>
        </w:rPr>
      </w:pPr>
      <w:r w:rsidRPr="00A16AA1">
        <w:rPr>
          <w:rFonts w:ascii="Gotham" w:hAnsi="Gotham"/>
        </w:rPr>
        <w:t>La pergola du Centre de Loisirs</w:t>
      </w:r>
    </w:p>
    <w:p w14:paraId="7B4C94F9" w14:textId="50FE815C" w:rsidR="00140895" w:rsidRPr="00A16AA1" w:rsidRDefault="00140895" w:rsidP="00C226DD">
      <w:pPr>
        <w:rPr>
          <w:rFonts w:ascii="Gotham" w:hAnsi="Gotham"/>
        </w:rPr>
      </w:pPr>
      <w:r w:rsidRPr="00A16AA1">
        <w:rPr>
          <w:rFonts w:ascii="Gotham" w:hAnsi="Gotham"/>
        </w:rPr>
        <w:t>Des travaux extérieurs à la crèche</w:t>
      </w:r>
    </w:p>
    <w:p w14:paraId="23C43EFD" w14:textId="3CC265DA" w:rsidR="00140895" w:rsidRPr="00A16AA1" w:rsidRDefault="00140895" w:rsidP="00C226DD">
      <w:pPr>
        <w:rPr>
          <w:rFonts w:ascii="Gotham" w:hAnsi="Gotham"/>
        </w:rPr>
      </w:pPr>
      <w:r w:rsidRPr="00A16AA1">
        <w:rPr>
          <w:rFonts w:ascii="Gotham" w:hAnsi="Gotham"/>
        </w:rPr>
        <w:t>La construction de la Micro-crèche</w:t>
      </w:r>
    </w:p>
    <w:p w14:paraId="7DF0A1C4" w14:textId="5E758276" w:rsidR="00140895" w:rsidRPr="00A16AA1" w:rsidRDefault="00140895" w:rsidP="00C226DD">
      <w:pPr>
        <w:rPr>
          <w:rFonts w:ascii="Gotham" w:hAnsi="Gotham"/>
        </w:rPr>
      </w:pPr>
      <w:r w:rsidRPr="00A16AA1">
        <w:rPr>
          <w:rFonts w:ascii="Gotham" w:hAnsi="Gotham"/>
        </w:rPr>
        <w:t xml:space="preserve">L’étude du nouveau bâtiment SIVSC et RPE </w:t>
      </w:r>
    </w:p>
    <w:p w14:paraId="50654A7E" w14:textId="77777777" w:rsidR="00140895" w:rsidRPr="00A16AA1" w:rsidRDefault="00140895" w:rsidP="00C226DD">
      <w:pPr>
        <w:rPr>
          <w:rFonts w:ascii="Gotham" w:hAnsi="Gotham"/>
        </w:rPr>
      </w:pPr>
    </w:p>
    <w:p w14:paraId="0BD07DF9" w14:textId="587D7D1E" w:rsidR="00976855" w:rsidRPr="00A16AA1" w:rsidRDefault="00976855" w:rsidP="00C226DD">
      <w:pPr>
        <w:rPr>
          <w:rFonts w:ascii="Gotham" w:hAnsi="Gotham"/>
        </w:rPr>
      </w:pPr>
      <w:r w:rsidRPr="00A16AA1">
        <w:rPr>
          <w:rFonts w:ascii="Gotham" w:hAnsi="Gotham"/>
          <w:b/>
          <w:bCs/>
        </w:rPr>
        <w:t>Secrétariat de séance</w:t>
      </w:r>
      <w:r w:rsidRPr="00A16AA1">
        <w:rPr>
          <w:rFonts w:ascii="Gotham" w:hAnsi="Gotham"/>
        </w:rPr>
        <w:t> : Serrières en Chautagne – Allison MUGNIER</w:t>
      </w:r>
    </w:p>
    <w:p w14:paraId="6675DFE8" w14:textId="77777777" w:rsidR="00976855" w:rsidRPr="00A16AA1" w:rsidRDefault="00976855" w:rsidP="00C226DD">
      <w:pPr>
        <w:rPr>
          <w:rFonts w:ascii="Gotham" w:hAnsi="Gotham"/>
        </w:rPr>
      </w:pPr>
    </w:p>
    <w:p w14:paraId="6AA41E85" w14:textId="5BC573A2" w:rsidR="00976855" w:rsidRPr="00A16AA1" w:rsidRDefault="00976855" w:rsidP="00C226DD">
      <w:pPr>
        <w:rPr>
          <w:rFonts w:ascii="Gotham" w:hAnsi="Gotham"/>
          <w:b/>
          <w:bCs/>
        </w:rPr>
      </w:pPr>
      <w:r w:rsidRPr="00A16AA1">
        <w:rPr>
          <w:rFonts w:ascii="Gotham" w:hAnsi="Gotham"/>
          <w:b/>
          <w:bCs/>
        </w:rPr>
        <w:t>Approbation du compte rendu du dernier Conseil Syndical</w:t>
      </w:r>
    </w:p>
    <w:p w14:paraId="1FC76FA2" w14:textId="51A09A19" w:rsidR="00976855" w:rsidRPr="00A16AA1" w:rsidRDefault="00976855" w:rsidP="00C226DD">
      <w:pPr>
        <w:rPr>
          <w:rFonts w:ascii="Gotham" w:hAnsi="Gotham"/>
        </w:rPr>
      </w:pPr>
      <w:r w:rsidRPr="00A16AA1">
        <w:rPr>
          <w:rFonts w:ascii="Gotham" w:hAnsi="Gotham"/>
        </w:rPr>
        <w:t>Validé à l’unanimité.</w:t>
      </w:r>
    </w:p>
    <w:p w14:paraId="300F0D8D" w14:textId="1F3A6246" w:rsidR="00976855" w:rsidRPr="00A16AA1" w:rsidRDefault="00976855" w:rsidP="00C226DD">
      <w:pPr>
        <w:rPr>
          <w:rFonts w:ascii="Gotham" w:hAnsi="Gotham"/>
          <w:b/>
          <w:bCs/>
          <w:u w:val="single"/>
        </w:rPr>
      </w:pPr>
      <w:r w:rsidRPr="00A16AA1">
        <w:rPr>
          <w:rFonts w:ascii="Gotham" w:hAnsi="Gotham"/>
          <w:b/>
          <w:bCs/>
          <w:u w:val="single"/>
        </w:rPr>
        <w:lastRenderedPageBreak/>
        <w:t>Projet Micro-crèche à Saint Pierre de Curtille :</w:t>
      </w:r>
    </w:p>
    <w:p w14:paraId="3204873B" w14:textId="77777777" w:rsidR="00976855" w:rsidRPr="00A16AA1" w:rsidRDefault="00976855" w:rsidP="00C226DD">
      <w:pPr>
        <w:rPr>
          <w:rFonts w:ascii="Gotham" w:hAnsi="Gotham"/>
          <w:b/>
          <w:bCs/>
        </w:rPr>
      </w:pPr>
      <w:r w:rsidRPr="00A16AA1">
        <w:rPr>
          <w:rFonts w:ascii="Gotham" w:hAnsi="Gotham"/>
          <w:b/>
          <w:bCs/>
        </w:rPr>
        <w:t>Acquisitions des terrains :</w:t>
      </w:r>
    </w:p>
    <w:p w14:paraId="67B3F757" w14:textId="6C688709" w:rsidR="00976855" w:rsidRPr="00A16AA1" w:rsidRDefault="00976855" w:rsidP="00143316">
      <w:pPr>
        <w:jc w:val="both"/>
        <w:rPr>
          <w:rFonts w:ascii="Gotham" w:hAnsi="Gotham"/>
        </w:rPr>
      </w:pPr>
      <w:r w:rsidRPr="00A16AA1">
        <w:rPr>
          <w:rFonts w:ascii="Gotham" w:hAnsi="Gotham"/>
        </w:rPr>
        <w:t>Afin de pouvoir percevoir le FCTVA, le SIVSC, qui porte le projet, doit être propriétaire des terrains où sera faite la construction. Il est donc important de prévoir l’acquisition des terrains dont CGLE est le propriétaire de 1457m2 et les parcelles attenantes initialement à Grand Lac de 60 m2 pour environ 30.000</w:t>
      </w:r>
      <w:r w:rsidRPr="00A16AA1">
        <w:rPr>
          <w:rFonts w:ascii="Times New Roman" w:hAnsi="Times New Roman" w:cs="Times New Roman"/>
        </w:rPr>
        <w:t>€</w:t>
      </w:r>
      <w:r w:rsidR="00436782" w:rsidRPr="00A16AA1">
        <w:rPr>
          <w:rFonts w:ascii="Gotham" w:hAnsi="Gotham"/>
        </w:rPr>
        <w:t xml:space="preserve"> (20</w:t>
      </w:r>
      <w:r w:rsidR="00436782" w:rsidRPr="00A16AA1">
        <w:rPr>
          <w:rFonts w:ascii="Times New Roman" w:hAnsi="Times New Roman" w:cs="Times New Roman"/>
        </w:rPr>
        <w:t>€</w:t>
      </w:r>
      <w:r w:rsidR="00436782" w:rsidRPr="00A16AA1">
        <w:rPr>
          <w:rFonts w:ascii="Gotham" w:hAnsi="Gotham"/>
        </w:rPr>
        <w:t xml:space="preserve"> HT/m2)</w:t>
      </w:r>
    </w:p>
    <w:p w14:paraId="3DF602EC" w14:textId="4B05A5FB" w:rsidR="00436782" w:rsidRPr="00A16AA1" w:rsidRDefault="00436782" w:rsidP="00143316">
      <w:pPr>
        <w:jc w:val="both"/>
        <w:rPr>
          <w:rFonts w:ascii="Gotham" w:hAnsi="Gotham"/>
        </w:rPr>
      </w:pPr>
      <w:r w:rsidRPr="00A16AA1">
        <w:rPr>
          <w:rFonts w:ascii="Gotham" w:hAnsi="Gotham"/>
        </w:rPr>
        <w:t>Une délibération permet d’acter le principe d’acquisition des parcelles à CGLE par le biais d’un bail à construction de 60 ans.</w:t>
      </w:r>
    </w:p>
    <w:p w14:paraId="0FC49043" w14:textId="5AE1F3EF" w:rsidR="00436782" w:rsidRPr="00A16AA1" w:rsidRDefault="00436782" w:rsidP="00C226DD">
      <w:pPr>
        <w:rPr>
          <w:rFonts w:ascii="Gotham" w:hAnsi="Gotham"/>
        </w:rPr>
      </w:pPr>
      <w:r w:rsidRPr="00A16AA1">
        <w:rPr>
          <w:rFonts w:ascii="Gotham" w:hAnsi="Gotham"/>
        </w:rPr>
        <w:t>Votée à l’unanimité</w:t>
      </w:r>
    </w:p>
    <w:p w14:paraId="3248859B" w14:textId="77777777" w:rsidR="00436782" w:rsidRPr="00A16AA1" w:rsidRDefault="00436782" w:rsidP="00C226DD">
      <w:pPr>
        <w:rPr>
          <w:rFonts w:ascii="Gotham" w:hAnsi="Gotham"/>
        </w:rPr>
      </w:pPr>
    </w:p>
    <w:p w14:paraId="324F44CA" w14:textId="5953F98E" w:rsidR="00976855" w:rsidRPr="00A16AA1" w:rsidRDefault="00976855" w:rsidP="00C226DD">
      <w:pPr>
        <w:rPr>
          <w:rFonts w:ascii="Gotham" w:hAnsi="Gotham"/>
          <w:b/>
          <w:bCs/>
        </w:rPr>
      </w:pPr>
      <w:r w:rsidRPr="00A16AA1">
        <w:rPr>
          <w:rFonts w:ascii="Gotham" w:hAnsi="Gotham"/>
          <w:b/>
          <w:bCs/>
        </w:rPr>
        <w:t xml:space="preserve">Le budget prévisionnel </w:t>
      </w:r>
      <w:r w:rsidR="00436782" w:rsidRPr="00A16AA1">
        <w:rPr>
          <w:rFonts w:ascii="Gotham" w:hAnsi="Gotham"/>
          <w:b/>
          <w:bCs/>
        </w:rPr>
        <w:t xml:space="preserve">de cette construction de la </w:t>
      </w:r>
      <w:proofErr w:type="gramStart"/>
      <w:r w:rsidR="00436782" w:rsidRPr="00A16AA1">
        <w:rPr>
          <w:rFonts w:ascii="Gotham" w:hAnsi="Gotham"/>
          <w:b/>
          <w:bCs/>
        </w:rPr>
        <w:t>Micro Crèche</w:t>
      </w:r>
      <w:proofErr w:type="gramEnd"/>
      <w:r w:rsidR="00436782" w:rsidRPr="00A16AA1">
        <w:rPr>
          <w:rFonts w:ascii="Gotham" w:hAnsi="Gotham"/>
          <w:b/>
          <w:bCs/>
        </w:rPr>
        <w:t xml:space="preserve"> </w:t>
      </w:r>
      <w:r w:rsidRPr="00A16AA1">
        <w:rPr>
          <w:rFonts w:ascii="Gotham" w:hAnsi="Gotham"/>
          <w:b/>
          <w:bCs/>
        </w:rPr>
        <w:t>est le suivant :</w:t>
      </w:r>
    </w:p>
    <w:p w14:paraId="4B613FFF" w14:textId="77777777" w:rsidR="00976855" w:rsidRPr="00A16AA1" w:rsidRDefault="00976855" w:rsidP="00C226DD">
      <w:pPr>
        <w:rPr>
          <w:rFonts w:ascii="Gotham" w:hAnsi="Gotham"/>
          <w:b/>
          <w:bCs/>
        </w:rPr>
      </w:pPr>
      <w:r w:rsidRPr="00A16AA1">
        <w:rPr>
          <w:rFonts w:ascii="Gotham" w:hAnsi="Gotham"/>
          <w:b/>
          <w:bCs/>
        </w:rPr>
        <w:t>Investissement :</w:t>
      </w:r>
    </w:p>
    <w:p w14:paraId="291CB4A7" w14:textId="44A00EB6" w:rsidR="00976855" w:rsidRPr="00A16AA1" w:rsidRDefault="00976855" w:rsidP="00C226DD">
      <w:pPr>
        <w:rPr>
          <w:rFonts w:ascii="Gotham" w:hAnsi="Gotham"/>
        </w:rPr>
      </w:pPr>
      <w:r w:rsidRPr="00A16AA1">
        <w:rPr>
          <w:rFonts w:ascii="Gotham" w:hAnsi="Gotham"/>
        </w:rPr>
        <w:t>Phase AVP : 875.482</w:t>
      </w:r>
      <w:r w:rsidRPr="00A16AA1">
        <w:rPr>
          <w:rFonts w:ascii="Times New Roman" w:hAnsi="Times New Roman" w:cs="Times New Roman"/>
        </w:rPr>
        <w:t>€</w:t>
      </w:r>
      <w:r w:rsidRPr="00A16AA1">
        <w:rPr>
          <w:rFonts w:ascii="Gotham" w:hAnsi="Gotham"/>
        </w:rPr>
        <w:t xml:space="preserve"> HT</w:t>
      </w:r>
    </w:p>
    <w:p w14:paraId="5A846FD4" w14:textId="3D0F6B1B" w:rsidR="00976855" w:rsidRPr="00A16AA1" w:rsidRDefault="00976855" w:rsidP="00C226DD">
      <w:pPr>
        <w:rPr>
          <w:rFonts w:ascii="Gotham" w:hAnsi="Gotham"/>
        </w:rPr>
      </w:pPr>
      <w:r w:rsidRPr="00A16AA1">
        <w:rPr>
          <w:rFonts w:ascii="Gotham" w:hAnsi="Gotham"/>
        </w:rPr>
        <w:t>MO : 113.035,45</w:t>
      </w:r>
      <w:r w:rsidRPr="00A16AA1">
        <w:rPr>
          <w:rFonts w:ascii="Times New Roman" w:hAnsi="Times New Roman" w:cs="Times New Roman"/>
        </w:rPr>
        <w:t>€</w:t>
      </w:r>
      <w:r w:rsidRPr="00A16AA1">
        <w:rPr>
          <w:rFonts w:ascii="Gotham" w:hAnsi="Gotham"/>
        </w:rPr>
        <w:t xml:space="preserve"> HT</w:t>
      </w:r>
    </w:p>
    <w:p w14:paraId="29550E8C" w14:textId="76E93C90" w:rsidR="00976855" w:rsidRPr="00A16AA1" w:rsidRDefault="00976855" w:rsidP="00C226DD">
      <w:pPr>
        <w:rPr>
          <w:rFonts w:ascii="Gotham" w:hAnsi="Gotham"/>
        </w:rPr>
      </w:pPr>
      <w:r w:rsidRPr="00A16AA1">
        <w:rPr>
          <w:rFonts w:ascii="Gotham" w:hAnsi="Gotham"/>
        </w:rPr>
        <w:t xml:space="preserve">Etudes diverses : topo, études des sols, bureau de contrôle et mission SPS : 25.000 </w:t>
      </w:r>
      <w:r w:rsidRPr="00A16AA1">
        <w:rPr>
          <w:rFonts w:ascii="Times New Roman" w:hAnsi="Times New Roman" w:cs="Times New Roman"/>
        </w:rPr>
        <w:t>€</w:t>
      </w:r>
      <w:r w:rsidRPr="00A16AA1">
        <w:rPr>
          <w:rFonts w:ascii="Gotham" w:hAnsi="Gotham"/>
        </w:rPr>
        <w:t xml:space="preserve"> HT</w:t>
      </w:r>
    </w:p>
    <w:p w14:paraId="6C566B37" w14:textId="62765037" w:rsidR="00976855" w:rsidRPr="00A16AA1" w:rsidRDefault="00976855" w:rsidP="00C226DD">
      <w:pPr>
        <w:rPr>
          <w:rFonts w:ascii="Gotham" w:hAnsi="Gotham"/>
        </w:rPr>
      </w:pPr>
      <w:r w:rsidRPr="00A16AA1">
        <w:rPr>
          <w:rFonts w:ascii="Gotham" w:hAnsi="Gotham"/>
        </w:rPr>
        <w:t>Aménagements : 50.000</w:t>
      </w:r>
      <w:r w:rsidRPr="00A16AA1">
        <w:rPr>
          <w:rFonts w:ascii="Times New Roman" w:hAnsi="Times New Roman" w:cs="Times New Roman"/>
        </w:rPr>
        <w:t>€</w:t>
      </w:r>
      <w:r w:rsidRPr="00A16AA1">
        <w:rPr>
          <w:rFonts w:ascii="Gotham" w:hAnsi="Gotham"/>
        </w:rPr>
        <w:t xml:space="preserve"> HT</w:t>
      </w:r>
    </w:p>
    <w:p w14:paraId="6D175F3B" w14:textId="202B8B16" w:rsidR="00976855" w:rsidRPr="00A16AA1" w:rsidRDefault="00976855" w:rsidP="00C226DD">
      <w:pPr>
        <w:rPr>
          <w:rFonts w:ascii="Gotham" w:hAnsi="Gotham"/>
        </w:rPr>
      </w:pPr>
      <w:r w:rsidRPr="00A16AA1">
        <w:rPr>
          <w:rFonts w:ascii="Gotham" w:hAnsi="Gotham"/>
        </w:rPr>
        <w:t>Imprévus : 40.000</w:t>
      </w:r>
      <w:r w:rsidRPr="00A16AA1">
        <w:rPr>
          <w:rFonts w:ascii="Times New Roman" w:hAnsi="Times New Roman" w:cs="Times New Roman"/>
        </w:rPr>
        <w:t>€</w:t>
      </w:r>
      <w:r w:rsidRPr="00A16AA1">
        <w:rPr>
          <w:rFonts w:ascii="Gotham" w:hAnsi="Gotham"/>
        </w:rPr>
        <w:t xml:space="preserve"> HT</w:t>
      </w:r>
    </w:p>
    <w:p w14:paraId="6D2A2CAB" w14:textId="5550FC1E" w:rsidR="00976855" w:rsidRPr="00A16AA1" w:rsidRDefault="00976855" w:rsidP="00C226DD">
      <w:pPr>
        <w:rPr>
          <w:rFonts w:ascii="Gotham" w:hAnsi="Gotham"/>
          <w:b/>
          <w:bCs/>
        </w:rPr>
      </w:pPr>
      <w:r w:rsidRPr="00A16AA1">
        <w:rPr>
          <w:rFonts w:ascii="Gotham" w:hAnsi="Gotham"/>
          <w:b/>
          <w:bCs/>
        </w:rPr>
        <w:t>Total :1.113.517</w:t>
      </w:r>
      <w:r w:rsidRPr="00A16AA1">
        <w:rPr>
          <w:rFonts w:ascii="Times New Roman" w:hAnsi="Times New Roman" w:cs="Times New Roman"/>
          <w:b/>
          <w:bCs/>
        </w:rPr>
        <w:t>€</w:t>
      </w:r>
      <w:r w:rsidRPr="00A16AA1">
        <w:rPr>
          <w:rFonts w:ascii="Gotham" w:hAnsi="Gotham"/>
          <w:b/>
          <w:bCs/>
        </w:rPr>
        <w:t xml:space="preserve"> HT soit 1.360.220</w:t>
      </w:r>
      <w:r w:rsidRPr="00A16AA1">
        <w:rPr>
          <w:rFonts w:ascii="Times New Roman" w:hAnsi="Times New Roman" w:cs="Times New Roman"/>
          <w:b/>
          <w:bCs/>
        </w:rPr>
        <w:t>€</w:t>
      </w:r>
      <w:r w:rsidRPr="00A16AA1">
        <w:rPr>
          <w:rFonts w:ascii="Gotham" w:hAnsi="Gotham"/>
          <w:b/>
          <w:bCs/>
        </w:rPr>
        <w:t xml:space="preserve"> TTC</w:t>
      </w:r>
    </w:p>
    <w:p w14:paraId="51D6CDEA" w14:textId="77777777" w:rsidR="00976855" w:rsidRPr="00A16AA1" w:rsidRDefault="00976855" w:rsidP="00C226DD">
      <w:pPr>
        <w:rPr>
          <w:rFonts w:ascii="Gotham" w:hAnsi="Gotham"/>
        </w:rPr>
      </w:pPr>
    </w:p>
    <w:p w14:paraId="60E71DCC" w14:textId="65DA795A" w:rsidR="00976855" w:rsidRPr="00A16AA1" w:rsidRDefault="00976855" w:rsidP="00C226DD">
      <w:pPr>
        <w:rPr>
          <w:rFonts w:ascii="Gotham" w:hAnsi="Gotham"/>
        </w:rPr>
      </w:pPr>
      <w:r w:rsidRPr="00A16AA1">
        <w:rPr>
          <w:rFonts w:ascii="Gotham" w:hAnsi="Gotham"/>
        </w:rPr>
        <w:t>Financement :</w:t>
      </w:r>
    </w:p>
    <w:p w14:paraId="2548281F" w14:textId="5034A8DB" w:rsidR="00976855" w:rsidRPr="00A16AA1" w:rsidRDefault="00976855" w:rsidP="00C226DD">
      <w:pPr>
        <w:rPr>
          <w:rFonts w:ascii="Gotham" w:hAnsi="Gotham"/>
        </w:rPr>
      </w:pPr>
      <w:r w:rsidRPr="00A16AA1">
        <w:rPr>
          <w:rFonts w:ascii="Gotham" w:hAnsi="Gotham"/>
        </w:rPr>
        <w:t>FCTVA : 201.992</w:t>
      </w:r>
      <w:r w:rsidRPr="00A16AA1">
        <w:rPr>
          <w:rFonts w:ascii="Times New Roman" w:hAnsi="Times New Roman" w:cs="Times New Roman"/>
        </w:rPr>
        <w:t>€</w:t>
      </w:r>
    </w:p>
    <w:p w14:paraId="71F9B2CB" w14:textId="38D7234C" w:rsidR="00976855" w:rsidRPr="00A16AA1" w:rsidRDefault="00976855" w:rsidP="00C226DD">
      <w:pPr>
        <w:rPr>
          <w:rFonts w:ascii="Gotham" w:hAnsi="Gotham"/>
        </w:rPr>
      </w:pPr>
      <w:r w:rsidRPr="00A16AA1">
        <w:rPr>
          <w:rFonts w:ascii="Gotham" w:hAnsi="Gotham"/>
        </w:rPr>
        <w:t>DETR : 300.000</w:t>
      </w:r>
      <w:r w:rsidRPr="00A16AA1">
        <w:rPr>
          <w:rFonts w:ascii="Times New Roman" w:hAnsi="Times New Roman" w:cs="Times New Roman"/>
        </w:rPr>
        <w:t>€</w:t>
      </w:r>
      <w:r w:rsidRPr="00A16AA1">
        <w:rPr>
          <w:rFonts w:ascii="Gotham" w:hAnsi="Gotham"/>
        </w:rPr>
        <w:t xml:space="preserve"> (en cours d</w:t>
      </w:r>
      <w:r w:rsidRPr="00A16AA1">
        <w:rPr>
          <w:rFonts w:ascii="Gotham" w:hAnsi="Gotham" w:cs="Gotham"/>
        </w:rPr>
        <w:t>’</w:t>
      </w:r>
      <w:r w:rsidRPr="00A16AA1">
        <w:rPr>
          <w:rFonts w:ascii="Gotham" w:hAnsi="Gotham"/>
        </w:rPr>
        <w:t>instruction)</w:t>
      </w:r>
    </w:p>
    <w:p w14:paraId="1DB33D59" w14:textId="1426456A" w:rsidR="00976855" w:rsidRPr="00A16AA1" w:rsidRDefault="00976855" w:rsidP="00C226DD">
      <w:pPr>
        <w:rPr>
          <w:rFonts w:ascii="Gotham" w:hAnsi="Gotham"/>
        </w:rPr>
      </w:pPr>
      <w:r w:rsidRPr="00A16AA1">
        <w:rPr>
          <w:rFonts w:ascii="Gotham" w:hAnsi="Gotham"/>
        </w:rPr>
        <w:t>CD73 : 48.000</w:t>
      </w:r>
      <w:r w:rsidRPr="00A16AA1">
        <w:rPr>
          <w:rFonts w:ascii="Times New Roman" w:hAnsi="Times New Roman" w:cs="Times New Roman"/>
        </w:rPr>
        <w:t>€</w:t>
      </w:r>
    </w:p>
    <w:p w14:paraId="42704F0B" w14:textId="1FD48494" w:rsidR="00976855" w:rsidRPr="00A16AA1" w:rsidRDefault="00976855" w:rsidP="00C226DD">
      <w:pPr>
        <w:rPr>
          <w:rFonts w:ascii="Gotham" w:hAnsi="Gotham"/>
        </w:rPr>
      </w:pPr>
      <w:r w:rsidRPr="00A16AA1">
        <w:rPr>
          <w:rFonts w:ascii="Gotham" w:hAnsi="Gotham"/>
        </w:rPr>
        <w:t>CAF : 210.000</w:t>
      </w:r>
      <w:r w:rsidRPr="00A16AA1">
        <w:rPr>
          <w:rFonts w:ascii="Times New Roman" w:hAnsi="Times New Roman" w:cs="Times New Roman"/>
        </w:rPr>
        <w:t>€</w:t>
      </w:r>
      <w:r w:rsidRPr="00A16AA1">
        <w:rPr>
          <w:rFonts w:ascii="Gotham" w:hAnsi="Gotham"/>
        </w:rPr>
        <w:t xml:space="preserve"> (17 500</w:t>
      </w:r>
      <w:r w:rsidRPr="00A16AA1">
        <w:rPr>
          <w:rFonts w:ascii="Times New Roman" w:hAnsi="Times New Roman" w:cs="Times New Roman"/>
        </w:rPr>
        <w:t>€</w:t>
      </w:r>
      <w:r w:rsidRPr="00A16AA1">
        <w:rPr>
          <w:rFonts w:ascii="Gotham" w:hAnsi="Gotham"/>
        </w:rPr>
        <w:t>/place)</w:t>
      </w:r>
    </w:p>
    <w:p w14:paraId="075170D7" w14:textId="423BF735" w:rsidR="00976855" w:rsidRPr="00A16AA1" w:rsidRDefault="00436782" w:rsidP="00C226DD">
      <w:pPr>
        <w:rPr>
          <w:rFonts w:ascii="Gotham" w:hAnsi="Gotham"/>
        </w:rPr>
      </w:pPr>
      <w:r w:rsidRPr="00A16AA1">
        <w:rPr>
          <w:rFonts w:ascii="Gotham" w:hAnsi="Gotham"/>
        </w:rPr>
        <w:t xml:space="preserve">Lot bois : </w:t>
      </w:r>
      <w:proofErr w:type="gramStart"/>
      <w:r w:rsidR="00976855" w:rsidRPr="00A16AA1">
        <w:rPr>
          <w:rFonts w:ascii="Gotham" w:hAnsi="Gotham"/>
        </w:rPr>
        <w:t>AURA:</w:t>
      </w:r>
      <w:proofErr w:type="gramEnd"/>
      <w:r w:rsidR="00976855" w:rsidRPr="00A16AA1">
        <w:rPr>
          <w:rFonts w:ascii="Gotham" w:hAnsi="Gotham"/>
        </w:rPr>
        <w:t xml:space="preserve"> 426000</w:t>
      </w:r>
      <w:r w:rsidRPr="00A16AA1">
        <w:rPr>
          <w:rFonts w:ascii="Gotham" w:hAnsi="Gotham"/>
        </w:rPr>
        <w:t xml:space="preserve"> – 30% lot bois et CD73 : 7100</w:t>
      </w:r>
      <w:r w:rsidRPr="00A16AA1">
        <w:rPr>
          <w:rFonts w:ascii="Times New Roman" w:hAnsi="Times New Roman" w:cs="Times New Roman"/>
        </w:rPr>
        <w:t>€</w:t>
      </w:r>
      <w:r w:rsidRPr="00A16AA1">
        <w:rPr>
          <w:rFonts w:ascii="Gotham" w:hAnsi="Gotham"/>
        </w:rPr>
        <w:t xml:space="preserve"> 5% du lot bois</w:t>
      </w:r>
    </w:p>
    <w:p w14:paraId="02344164" w14:textId="78430724" w:rsidR="00436782" w:rsidRPr="00A16AA1" w:rsidRDefault="00436782" w:rsidP="00C226DD">
      <w:pPr>
        <w:rPr>
          <w:rFonts w:ascii="Gotham" w:hAnsi="Gotham"/>
          <w:b/>
          <w:bCs/>
        </w:rPr>
      </w:pPr>
      <w:r w:rsidRPr="00A16AA1">
        <w:rPr>
          <w:rFonts w:ascii="Gotham" w:hAnsi="Gotham"/>
          <w:b/>
          <w:bCs/>
        </w:rPr>
        <w:t>Total : 809.692</w:t>
      </w:r>
      <w:r w:rsidRPr="00A16AA1">
        <w:rPr>
          <w:rFonts w:ascii="Times New Roman" w:hAnsi="Times New Roman" w:cs="Times New Roman"/>
          <w:b/>
          <w:bCs/>
        </w:rPr>
        <w:t>€</w:t>
      </w:r>
      <w:r w:rsidRPr="00A16AA1">
        <w:rPr>
          <w:rFonts w:ascii="Gotham" w:hAnsi="Gotham"/>
          <w:b/>
          <w:bCs/>
        </w:rPr>
        <w:t xml:space="preserve"> (60%)</w:t>
      </w:r>
    </w:p>
    <w:p w14:paraId="5EBC9BF8" w14:textId="05999528" w:rsidR="00436782" w:rsidRPr="00A16AA1" w:rsidRDefault="00436782" w:rsidP="00C226DD">
      <w:pPr>
        <w:rPr>
          <w:rFonts w:ascii="Gotham" w:hAnsi="Gotham"/>
          <w:b/>
          <w:bCs/>
        </w:rPr>
      </w:pPr>
      <w:r w:rsidRPr="00A16AA1">
        <w:rPr>
          <w:rFonts w:ascii="Gotham" w:hAnsi="Gotham"/>
          <w:b/>
          <w:bCs/>
        </w:rPr>
        <w:t>Solde à financer : 550.529</w:t>
      </w:r>
      <w:proofErr w:type="gramStart"/>
      <w:r w:rsidRPr="00A16AA1">
        <w:rPr>
          <w:rFonts w:ascii="Times New Roman" w:hAnsi="Times New Roman" w:cs="Times New Roman"/>
          <w:b/>
          <w:bCs/>
        </w:rPr>
        <w:t>€</w:t>
      </w:r>
      <w:r w:rsidRPr="00A16AA1">
        <w:rPr>
          <w:rFonts w:ascii="Gotham" w:hAnsi="Gotham"/>
          <w:b/>
          <w:bCs/>
        </w:rPr>
        <w:t xml:space="preserve">  (</w:t>
      </w:r>
      <w:proofErr w:type="gramEnd"/>
      <w:r w:rsidRPr="00A16AA1">
        <w:rPr>
          <w:rFonts w:ascii="Gotham" w:hAnsi="Gotham"/>
          <w:b/>
          <w:bCs/>
        </w:rPr>
        <w:t>pr</w:t>
      </w:r>
      <w:r w:rsidRPr="00A16AA1">
        <w:rPr>
          <w:rFonts w:ascii="Gotham" w:hAnsi="Gotham" w:cs="Gotham"/>
          <w:b/>
          <w:bCs/>
        </w:rPr>
        <w:t>ê</w:t>
      </w:r>
      <w:r w:rsidRPr="00A16AA1">
        <w:rPr>
          <w:rFonts w:ascii="Gotham" w:hAnsi="Gotham"/>
          <w:b/>
          <w:bCs/>
        </w:rPr>
        <w:t xml:space="preserve">t CAF </w:t>
      </w:r>
      <w:r w:rsidRPr="00A16AA1">
        <w:rPr>
          <w:rFonts w:ascii="Gotham" w:hAnsi="Gotham" w:cs="Gotham"/>
          <w:b/>
          <w:bCs/>
        </w:rPr>
        <w:t>à</w:t>
      </w:r>
      <w:r w:rsidRPr="00A16AA1">
        <w:rPr>
          <w:rFonts w:ascii="Gotham" w:hAnsi="Gotham"/>
          <w:b/>
          <w:bCs/>
        </w:rPr>
        <w:t xml:space="preserve"> taux z</w:t>
      </w:r>
      <w:r w:rsidRPr="00A16AA1">
        <w:rPr>
          <w:rFonts w:ascii="Gotham" w:hAnsi="Gotham" w:cs="Gotham"/>
          <w:b/>
          <w:bCs/>
        </w:rPr>
        <w:t>é</w:t>
      </w:r>
      <w:r w:rsidRPr="00A16AA1">
        <w:rPr>
          <w:rFonts w:ascii="Gotham" w:hAnsi="Gotham"/>
          <w:b/>
          <w:bCs/>
        </w:rPr>
        <w:t>ro possible</w:t>
      </w:r>
      <w:r w:rsidRPr="00A16AA1">
        <w:rPr>
          <w:rFonts w:ascii="Gotham" w:hAnsi="Gotham" w:cs="Gotham"/>
          <w:b/>
          <w:bCs/>
        </w:rPr>
        <w:t> </w:t>
      </w:r>
      <w:r w:rsidRPr="00A16AA1">
        <w:rPr>
          <w:rFonts w:ascii="Gotham" w:hAnsi="Gotham"/>
          <w:b/>
          <w:bCs/>
        </w:rPr>
        <w:t>: 300.000</w:t>
      </w:r>
      <w:r w:rsidRPr="00A16AA1">
        <w:rPr>
          <w:rFonts w:ascii="Times New Roman" w:hAnsi="Times New Roman" w:cs="Times New Roman"/>
          <w:b/>
          <w:bCs/>
        </w:rPr>
        <w:t>€</w:t>
      </w:r>
      <w:r w:rsidRPr="00A16AA1">
        <w:rPr>
          <w:rFonts w:ascii="Gotham" w:hAnsi="Gotham"/>
          <w:b/>
          <w:bCs/>
        </w:rPr>
        <w:t>)</w:t>
      </w:r>
    </w:p>
    <w:p w14:paraId="3C01C869" w14:textId="769313B0" w:rsidR="00436782" w:rsidRPr="00A16AA1" w:rsidRDefault="00436782" w:rsidP="00C226DD">
      <w:pPr>
        <w:rPr>
          <w:rFonts w:ascii="Gotham" w:hAnsi="Gotham"/>
          <w:b/>
          <w:bCs/>
        </w:rPr>
      </w:pPr>
      <w:r w:rsidRPr="00A16AA1">
        <w:rPr>
          <w:rFonts w:ascii="Gotham" w:hAnsi="Gotham"/>
          <w:b/>
          <w:bCs/>
        </w:rPr>
        <w:t xml:space="preserve">Avenant MO </w:t>
      </w:r>
    </w:p>
    <w:p w14:paraId="29201951" w14:textId="1B8048E8" w:rsidR="00436782" w:rsidRPr="00A16AA1" w:rsidRDefault="00436782" w:rsidP="00C226DD">
      <w:pPr>
        <w:rPr>
          <w:rFonts w:ascii="Gotham" w:hAnsi="Gotham"/>
        </w:rPr>
      </w:pPr>
      <w:r w:rsidRPr="00A16AA1">
        <w:rPr>
          <w:rFonts w:ascii="Gotham" w:hAnsi="Gotham"/>
        </w:rPr>
        <w:t>Un marché provisoire de 92.848</w:t>
      </w:r>
      <w:r w:rsidRPr="00A16AA1">
        <w:rPr>
          <w:rFonts w:ascii="Times New Roman" w:hAnsi="Times New Roman" w:cs="Times New Roman"/>
        </w:rPr>
        <w:t>€</w:t>
      </w:r>
      <w:r w:rsidRPr="00A16AA1">
        <w:rPr>
          <w:rFonts w:ascii="Gotham" w:hAnsi="Gotham"/>
        </w:rPr>
        <w:t xml:space="preserve"> pour un montant des travaux de 700.000</w:t>
      </w:r>
      <w:r w:rsidRPr="00A16AA1">
        <w:rPr>
          <w:rFonts w:ascii="Times New Roman" w:hAnsi="Times New Roman" w:cs="Times New Roman"/>
        </w:rPr>
        <w:t>€</w:t>
      </w:r>
      <w:r w:rsidRPr="00A16AA1">
        <w:rPr>
          <w:rFonts w:ascii="Gotham" w:hAnsi="Gotham"/>
        </w:rPr>
        <w:t xml:space="preserve"> HT</w:t>
      </w:r>
    </w:p>
    <w:p w14:paraId="0B20D098" w14:textId="37AAFEE2" w:rsidR="00436782" w:rsidRPr="00A16AA1" w:rsidRDefault="00436782" w:rsidP="00C226DD">
      <w:pPr>
        <w:rPr>
          <w:rFonts w:ascii="Gotham" w:hAnsi="Gotham"/>
        </w:rPr>
      </w:pPr>
      <w:r w:rsidRPr="00A16AA1">
        <w:rPr>
          <w:rFonts w:ascii="Gotham" w:hAnsi="Gotham"/>
        </w:rPr>
        <w:t>AVP-PRO-ACT-VISA-DET-AOR : 73.528</w:t>
      </w:r>
      <w:r w:rsidRPr="00A16AA1">
        <w:rPr>
          <w:rFonts w:ascii="Times New Roman" w:hAnsi="Times New Roman" w:cs="Times New Roman"/>
        </w:rPr>
        <w:t>€</w:t>
      </w:r>
      <w:r w:rsidRPr="00A16AA1">
        <w:rPr>
          <w:rFonts w:ascii="Gotham" w:hAnsi="Gotham"/>
        </w:rPr>
        <w:t xml:space="preserve"> </w:t>
      </w:r>
    </w:p>
    <w:p w14:paraId="22A72DFE" w14:textId="4DDCAABB" w:rsidR="00436782" w:rsidRPr="00A16AA1" w:rsidRDefault="00436782" w:rsidP="00C226DD">
      <w:pPr>
        <w:rPr>
          <w:rFonts w:ascii="Gotham" w:hAnsi="Gotham"/>
        </w:rPr>
      </w:pPr>
      <w:r w:rsidRPr="00A16AA1">
        <w:rPr>
          <w:rFonts w:ascii="Gotham" w:hAnsi="Gotham"/>
        </w:rPr>
        <w:t>OPC : 70000</w:t>
      </w:r>
      <w:r w:rsidRPr="00A16AA1">
        <w:rPr>
          <w:rFonts w:ascii="Times New Roman" w:hAnsi="Times New Roman" w:cs="Times New Roman"/>
        </w:rPr>
        <w:t>€</w:t>
      </w:r>
      <w:r w:rsidRPr="00A16AA1">
        <w:rPr>
          <w:rFonts w:ascii="Gotham" w:hAnsi="Gotham"/>
        </w:rPr>
        <w:t xml:space="preserve"> soit 1%</w:t>
      </w:r>
    </w:p>
    <w:p w14:paraId="75CCB653" w14:textId="6B6465F0" w:rsidR="00436782" w:rsidRPr="000D273D" w:rsidRDefault="00436782" w:rsidP="00C226DD">
      <w:pPr>
        <w:rPr>
          <w:rFonts w:ascii="Gotham" w:hAnsi="Gotham"/>
          <w:b/>
          <w:bCs/>
        </w:rPr>
      </w:pPr>
      <w:r w:rsidRPr="000D273D">
        <w:rPr>
          <w:rFonts w:ascii="Gotham" w:hAnsi="Gotham"/>
          <w:b/>
          <w:bCs/>
        </w:rPr>
        <w:lastRenderedPageBreak/>
        <w:t xml:space="preserve">Missions complémentaires : </w:t>
      </w:r>
      <w:r w:rsidRPr="000D273D">
        <w:rPr>
          <w:rFonts w:ascii="Gotham" w:hAnsi="Gotham"/>
          <w:b/>
          <w:bCs/>
        </w:rPr>
        <w:tab/>
        <w:t xml:space="preserve">Concertation : </w:t>
      </w:r>
      <w:r w:rsidRPr="000D273D">
        <w:rPr>
          <w:rFonts w:ascii="Gotham" w:hAnsi="Gotham"/>
          <w:b/>
          <w:bCs/>
        </w:rPr>
        <w:tab/>
      </w:r>
      <w:r w:rsidRPr="000D273D">
        <w:rPr>
          <w:rFonts w:ascii="Gotham" w:hAnsi="Gotham"/>
          <w:b/>
          <w:bCs/>
        </w:rPr>
        <w:tab/>
      </w:r>
      <w:r w:rsidRPr="000D273D">
        <w:rPr>
          <w:rFonts w:ascii="Gotham" w:hAnsi="Gotham"/>
          <w:b/>
          <w:bCs/>
        </w:rPr>
        <w:tab/>
      </w:r>
      <w:r w:rsidR="000D273D">
        <w:rPr>
          <w:rFonts w:ascii="Gotham" w:hAnsi="Gotham"/>
          <w:b/>
          <w:bCs/>
        </w:rPr>
        <w:tab/>
      </w:r>
      <w:r w:rsidRPr="000D273D">
        <w:rPr>
          <w:rFonts w:ascii="Gotham" w:hAnsi="Gotham"/>
          <w:b/>
          <w:bCs/>
        </w:rPr>
        <w:t>2800</w:t>
      </w:r>
      <w:r w:rsidRPr="000D273D">
        <w:rPr>
          <w:rFonts w:ascii="Times New Roman" w:hAnsi="Times New Roman" w:cs="Times New Roman"/>
          <w:b/>
          <w:bCs/>
        </w:rPr>
        <w:t>€</w:t>
      </w:r>
      <w:r w:rsidRPr="000D273D">
        <w:rPr>
          <w:rFonts w:ascii="Gotham" w:hAnsi="Gotham"/>
          <w:b/>
          <w:bCs/>
        </w:rPr>
        <w:t xml:space="preserve"> HT</w:t>
      </w:r>
    </w:p>
    <w:p w14:paraId="5C19CE27" w14:textId="0542BCF1" w:rsidR="00436782" w:rsidRPr="000D273D" w:rsidRDefault="00436782" w:rsidP="00C226DD">
      <w:pPr>
        <w:rPr>
          <w:rFonts w:ascii="Gotham" w:hAnsi="Gotham"/>
          <w:b/>
          <w:bCs/>
        </w:rPr>
      </w:pPr>
      <w:r w:rsidRPr="000D273D">
        <w:rPr>
          <w:rFonts w:ascii="Gotham" w:hAnsi="Gotham"/>
          <w:b/>
          <w:bCs/>
        </w:rPr>
        <w:tab/>
      </w:r>
      <w:r w:rsidRPr="000D273D">
        <w:rPr>
          <w:rFonts w:ascii="Gotham" w:hAnsi="Gotham"/>
          <w:b/>
          <w:bCs/>
        </w:rPr>
        <w:tab/>
      </w:r>
      <w:r w:rsidRPr="000D273D">
        <w:rPr>
          <w:rFonts w:ascii="Gotham" w:hAnsi="Gotham"/>
          <w:b/>
          <w:bCs/>
        </w:rPr>
        <w:tab/>
      </w:r>
      <w:r w:rsidRPr="000D273D">
        <w:rPr>
          <w:rFonts w:ascii="Gotham" w:hAnsi="Gotham"/>
          <w:b/>
          <w:bCs/>
        </w:rPr>
        <w:tab/>
        <w:t xml:space="preserve">  </w:t>
      </w:r>
      <w:r w:rsidRPr="000D273D">
        <w:rPr>
          <w:rFonts w:ascii="Gotham" w:hAnsi="Gotham"/>
          <w:b/>
          <w:bCs/>
        </w:rPr>
        <w:tab/>
        <w:t xml:space="preserve">Simulation </w:t>
      </w:r>
      <w:proofErr w:type="spellStart"/>
      <w:r w:rsidRPr="000D273D">
        <w:rPr>
          <w:rFonts w:ascii="Gotham" w:hAnsi="Gotham"/>
          <w:b/>
          <w:bCs/>
        </w:rPr>
        <w:t>Thermo-dynamique</w:t>
      </w:r>
      <w:proofErr w:type="spellEnd"/>
      <w:r w:rsidRPr="000D273D">
        <w:rPr>
          <w:rFonts w:ascii="Gotham" w:hAnsi="Gotham"/>
          <w:b/>
          <w:bCs/>
        </w:rPr>
        <w:t xml:space="preserve"> : </w:t>
      </w:r>
      <w:r w:rsidRPr="000D273D">
        <w:rPr>
          <w:rFonts w:ascii="Gotham" w:hAnsi="Gotham"/>
          <w:b/>
          <w:bCs/>
        </w:rPr>
        <w:tab/>
        <w:t>2520</w:t>
      </w:r>
      <w:r w:rsidRPr="000D273D">
        <w:rPr>
          <w:rFonts w:ascii="Times New Roman" w:hAnsi="Times New Roman" w:cs="Times New Roman"/>
          <w:b/>
          <w:bCs/>
        </w:rPr>
        <w:t>€</w:t>
      </w:r>
      <w:r w:rsidRPr="000D273D">
        <w:rPr>
          <w:rFonts w:ascii="Gotham" w:hAnsi="Gotham"/>
          <w:b/>
          <w:bCs/>
        </w:rPr>
        <w:t xml:space="preserve"> HT</w:t>
      </w:r>
    </w:p>
    <w:p w14:paraId="7465F271" w14:textId="2592E8F4" w:rsidR="00436782" w:rsidRPr="000D273D" w:rsidRDefault="00436782" w:rsidP="00C226DD">
      <w:pPr>
        <w:rPr>
          <w:rFonts w:ascii="Gotham" w:hAnsi="Gotham"/>
          <w:b/>
          <w:bCs/>
        </w:rPr>
      </w:pPr>
      <w:r w:rsidRPr="000D273D">
        <w:rPr>
          <w:rFonts w:ascii="Gotham" w:hAnsi="Gotham"/>
          <w:b/>
          <w:bCs/>
        </w:rPr>
        <w:tab/>
      </w:r>
      <w:r w:rsidRPr="000D273D">
        <w:rPr>
          <w:rFonts w:ascii="Gotham" w:hAnsi="Gotham"/>
          <w:b/>
          <w:bCs/>
        </w:rPr>
        <w:tab/>
      </w:r>
      <w:r w:rsidRPr="000D273D">
        <w:rPr>
          <w:rFonts w:ascii="Gotham" w:hAnsi="Gotham"/>
          <w:b/>
          <w:bCs/>
        </w:rPr>
        <w:tab/>
      </w:r>
      <w:r w:rsidRPr="000D273D">
        <w:rPr>
          <w:rFonts w:ascii="Gotham" w:hAnsi="Gotham"/>
          <w:b/>
          <w:bCs/>
        </w:rPr>
        <w:tab/>
      </w:r>
      <w:r w:rsidRPr="000D273D">
        <w:rPr>
          <w:rFonts w:ascii="Gotham" w:hAnsi="Gotham"/>
          <w:b/>
          <w:bCs/>
        </w:rPr>
        <w:tab/>
        <w:t xml:space="preserve">Dossiers de subventions : </w:t>
      </w:r>
      <w:r w:rsidRPr="000D273D">
        <w:rPr>
          <w:rFonts w:ascii="Gotham" w:hAnsi="Gotham"/>
          <w:b/>
          <w:bCs/>
        </w:rPr>
        <w:tab/>
      </w:r>
      <w:r w:rsidRPr="000D273D">
        <w:rPr>
          <w:rFonts w:ascii="Gotham" w:hAnsi="Gotham"/>
          <w:b/>
          <w:bCs/>
        </w:rPr>
        <w:tab/>
        <w:t>2800</w:t>
      </w:r>
      <w:r w:rsidRPr="000D273D">
        <w:rPr>
          <w:rFonts w:ascii="Times New Roman" w:hAnsi="Times New Roman" w:cs="Times New Roman"/>
          <w:b/>
          <w:bCs/>
        </w:rPr>
        <w:t>€</w:t>
      </w:r>
      <w:r w:rsidRPr="000D273D">
        <w:rPr>
          <w:rFonts w:ascii="Gotham" w:hAnsi="Gotham"/>
          <w:b/>
          <w:bCs/>
        </w:rPr>
        <w:t xml:space="preserve"> HT</w:t>
      </w:r>
    </w:p>
    <w:p w14:paraId="1B1F25C9" w14:textId="05A7967C" w:rsidR="00436782" w:rsidRPr="000D273D" w:rsidRDefault="00436782" w:rsidP="00C226DD">
      <w:pPr>
        <w:rPr>
          <w:rFonts w:ascii="Gotham" w:hAnsi="Gotham"/>
          <w:b/>
          <w:bCs/>
        </w:rPr>
      </w:pPr>
      <w:r w:rsidRPr="000D273D">
        <w:rPr>
          <w:rFonts w:ascii="Gotham" w:hAnsi="Gotham"/>
          <w:b/>
          <w:bCs/>
        </w:rPr>
        <w:tab/>
      </w:r>
      <w:r w:rsidRPr="000D273D">
        <w:rPr>
          <w:rFonts w:ascii="Gotham" w:hAnsi="Gotham"/>
          <w:b/>
          <w:bCs/>
        </w:rPr>
        <w:tab/>
      </w:r>
      <w:r w:rsidRPr="000D273D">
        <w:rPr>
          <w:rFonts w:ascii="Gotham" w:hAnsi="Gotham"/>
          <w:b/>
          <w:bCs/>
        </w:rPr>
        <w:tab/>
      </w:r>
      <w:r w:rsidRPr="000D273D">
        <w:rPr>
          <w:rFonts w:ascii="Gotham" w:hAnsi="Gotham"/>
          <w:b/>
          <w:bCs/>
        </w:rPr>
        <w:tab/>
      </w:r>
      <w:r w:rsidRPr="000D273D">
        <w:rPr>
          <w:rFonts w:ascii="Gotham" w:hAnsi="Gotham"/>
          <w:b/>
          <w:bCs/>
        </w:rPr>
        <w:tab/>
        <w:t xml:space="preserve">PC : </w:t>
      </w:r>
      <w:r w:rsidRPr="000D273D">
        <w:rPr>
          <w:rFonts w:ascii="Gotham" w:hAnsi="Gotham"/>
          <w:b/>
          <w:bCs/>
        </w:rPr>
        <w:tab/>
      </w:r>
      <w:r w:rsidRPr="000D273D">
        <w:rPr>
          <w:rFonts w:ascii="Gotham" w:hAnsi="Gotham"/>
          <w:b/>
          <w:bCs/>
        </w:rPr>
        <w:tab/>
      </w:r>
      <w:r w:rsidRPr="000D273D">
        <w:rPr>
          <w:rFonts w:ascii="Gotham" w:hAnsi="Gotham"/>
          <w:b/>
          <w:bCs/>
        </w:rPr>
        <w:tab/>
      </w:r>
      <w:r w:rsidRPr="000D273D">
        <w:rPr>
          <w:rFonts w:ascii="Gotham" w:hAnsi="Gotham"/>
          <w:b/>
          <w:bCs/>
        </w:rPr>
        <w:tab/>
      </w:r>
      <w:r w:rsidRPr="000D273D">
        <w:rPr>
          <w:rFonts w:ascii="Gotham" w:hAnsi="Gotham"/>
          <w:b/>
          <w:bCs/>
        </w:rPr>
        <w:tab/>
      </w:r>
      <w:r w:rsidR="000D273D">
        <w:rPr>
          <w:rFonts w:ascii="Gotham" w:hAnsi="Gotham"/>
          <w:b/>
          <w:bCs/>
        </w:rPr>
        <w:tab/>
      </w:r>
      <w:r w:rsidRPr="000D273D">
        <w:rPr>
          <w:rFonts w:ascii="Gotham" w:hAnsi="Gotham"/>
          <w:b/>
          <w:bCs/>
        </w:rPr>
        <w:t>4200</w:t>
      </w:r>
      <w:r w:rsidRPr="000D273D">
        <w:rPr>
          <w:rFonts w:ascii="Times New Roman" w:hAnsi="Times New Roman" w:cs="Times New Roman"/>
          <w:b/>
          <w:bCs/>
        </w:rPr>
        <w:t>€</w:t>
      </w:r>
      <w:r w:rsidRPr="000D273D">
        <w:rPr>
          <w:rFonts w:ascii="Gotham" w:hAnsi="Gotham"/>
          <w:b/>
          <w:bCs/>
        </w:rPr>
        <w:t xml:space="preserve"> HT</w:t>
      </w:r>
    </w:p>
    <w:p w14:paraId="2C02A92F" w14:textId="43C5E852" w:rsidR="00795895" w:rsidRPr="00A16AA1" w:rsidRDefault="00795895" w:rsidP="00795895">
      <w:pPr>
        <w:rPr>
          <w:rFonts w:ascii="Gotham" w:hAnsi="Gotham"/>
        </w:rPr>
      </w:pPr>
      <w:r w:rsidRPr="00A16AA1">
        <w:rPr>
          <w:rFonts w:ascii="Gotham" w:hAnsi="Gotham"/>
        </w:rPr>
        <w:t>Après cette phase, l</w:t>
      </w:r>
      <w:r w:rsidR="00436782" w:rsidRPr="00A16AA1">
        <w:rPr>
          <w:rFonts w:ascii="Gotham" w:hAnsi="Gotham"/>
        </w:rPr>
        <w:t>e nouve</w:t>
      </w:r>
      <w:r w:rsidRPr="00A16AA1">
        <w:rPr>
          <w:rFonts w:ascii="Gotham" w:hAnsi="Gotham"/>
        </w:rPr>
        <w:t xml:space="preserve">au </w:t>
      </w:r>
      <w:r w:rsidR="00436782" w:rsidRPr="00A16AA1">
        <w:rPr>
          <w:rFonts w:ascii="Gotham" w:hAnsi="Gotham"/>
        </w:rPr>
        <w:t>montant AVP de 875.482</w:t>
      </w:r>
      <w:r w:rsidR="00436782" w:rsidRPr="00A16AA1">
        <w:rPr>
          <w:rFonts w:ascii="Times New Roman" w:hAnsi="Times New Roman" w:cs="Times New Roman"/>
        </w:rPr>
        <w:t>€</w:t>
      </w:r>
      <w:r w:rsidR="00436782" w:rsidRPr="00A16AA1">
        <w:rPr>
          <w:rFonts w:ascii="Gotham" w:hAnsi="Gotham"/>
        </w:rPr>
        <w:t xml:space="preserve"> HT</w:t>
      </w:r>
      <w:r w:rsidRPr="00A16AA1">
        <w:rPr>
          <w:rFonts w:ascii="Gotham" w:hAnsi="Gotham"/>
        </w:rPr>
        <w:t xml:space="preserve"> avec AVP-PRO-ACT-VISA-DET-AOR : 91.960.63</w:t>
      </w:r>
      <w:r w:rsidRPr="00A16AA1">
        <w:rPr>
          <w:rFonts w:ascii="Times New Roman" w:hAnsi="Times New Roman" w:cs="Times New Roman"/>
        </w:rPr>
        <w:t>€</w:t>
      </w:r>
      <w:r w:rsidRPr="00A16AA1">
        <w:rPr>
          <w:rFonts w:ascii="Gotham" w:hAnsi="Gotham"/>
        </w:rPr>
        <w:t xml:space="preserve"> (10.504%) et OPC</w:t>
      </w:r>
      <w:r w:rsidRPr="00A16AA1">
        <w:rPr>
          <w:rFonts w:ascii="Gotham" w:hAnsi="Gotham" w:cs="Gotham"/>
        </w:rPr>
        <w:t> </w:t>
      </w:r>
      <w:r w:rsidRPr="00A16AA1">
        <w:rPr>
          <w:rFonts w:ascii="Gotham" w:hAnsi="Gotham"/>
        </w:rPr>
        <w:t>: 8.754.82</w:t>
      </w:r>
      <w:r w:rsidRPr="00A16AA1">
        <w:rPr>
          <w:rFonts w:ascii="Times New Roman" w:hAnsi="Times New Roman" w:cs="Times New Roman"/>
        </w:rPr>
        <w:t>€</w:t>
      </w:r>
    </w:p>
    <w:p w14:paraId="2A259229" w14:textId="625FA670" w:rsidR="00795895" w:rsidRPr="00A16AA1" w:rsidRDefault="00795895" w:rsidP="00795895">
      <w:pPr>
        <w:rPr>
          <w:rFonts w:ascii="Gotham" w:hAnsi="Gotham"/>
        </w:rPr>
      </w:pPr>
      <w:r w:rsidRPr="00A16AA1">
        <w:rPr>
          <w:rFonts w:ascii="Gotham" w:hAnsi="Gotham"/>
        </w:rPr>
        <w:t>Soit un nouveau montant total de 113.035,45</w:t>
      </w:r>
      <w:r w:rsidRPr="00A16AA1">
        <w:rPr>
          <w:rFonts w:ascii="Times New Roman" w:hAnsi="Times New Roman" w:cs="Times New Roman"/>
        </w:rPr>
        <w:t>€</w:t>
      </w:r>
      <w:r w:rsidRPr="00A16AA1">
        <w:rPr>
          <w:rFonts w:ascii="Gotham" w:hAnsi="Gotham"/>
        </w:rPr>
        <w:t xml:space="preserve"> et </w:t>
      </w:r>
      <w:r w:rsidRPr="00A16AA1">
        <w:rPr>
          <w:rFonts w:ascii="Gotham" w:hAnsi="Gotham"/>
          <w:b/>
          <w:bCs/>
        </w:rPr>
        <w:t>un avenant N°1 de 20.187,45</w:t>
      </w:r>
      <w:r w:rsidRPr="00A16AA1">
        <w:rPr>
          <w:rFonts w:ascii="Times New Roman" w:hAnsi="Times New Roman" w:cs="Times New Roman"/>
          <w:b/>
          <w:bCs/>
        </w:rPr>
        <w:t>€</w:t>
      </w:r>
      <w:r w:rsidRPr="00A16AA1">
        <w:rPr>
          <w:rFonts w:ascii="Gotham" w:hAnsi="Gotham"/>
          <w:b/>
          <w:bCs/>
        </w:rPr>
        <w:t xml:space="preserve"> HT</w:t>
      </w:r>
      <w:r w:rsidRPr="00A16AA1">
        <w:rPr>
          <w:rFonts w:ascii="Gotham" w:hAnsi="Gotham"/>
        </w:rPr>
        <w:t xml:space="preserve"> </w:t>
      </w:r>
    </w:p>
    <w:p w14:paraId="200E0604" w14:textId="1D2351A0" w:rsidR="00795895" w:rsidRPr="00A16AA1" w:rsidRDefault="00795895" w:rsidP="00795895">
      <w:pPr>
        <w:rPr>
          <w:rFonts w:ascii="Gotham" w:hAnsi="Gotham"/>
        </w:rPr>
      </w:pPr>
      <w:r w:rsidRPr="00A16AA1">
        <w:rPr>
          <w:rFonts w:ascii="Gotham" w:hAnsi="Gotham"/>
        </w:rPr>
        <w:t>Votée à l’unanimité.</w:t>
      </w:r>
    </w:p>
    <w:p w14:paraId="4B059F1E" w14:textId="77777777" w:rsidR="00795895" w:rsidRPr="00A16AA1" w:rsidRDefault="00795895" w:rsidP="00795895">
      <w:pPr>
        <w:rPr>
          <w:rFonts w:ascii="Gotham" w:hAnsi="Gotham"/>
        </w:rPr>
      </w:pPr>
    </w:p>
    <w:p w14:paraId="3394E4D9" w14:textId="2F5162F2" w:rsidR="00795895" w:rsidRPr="00A16AA1" w:rsidRDefault="00795895" w:rsidP="00795895">
      <w:pPr>
        <w:rPr>
          <w:rFonts w:ascii="Gotham" w:hAnsi="Gotham"/>
          <w:b/>
          <w:bCs/>
          <w:u w:val="single"/>
        </w:rPr>
      </w:pPr>
      <w:r w:rsidRPr="00A16AA1">
        <w:rPr>
          <w:rFonts w:ascii="Gotham" w:hAnsi="Gotham"/>
          <w:b/>
          <w:bCs/>
          <w:u w:val="single"/>
        </w:rPr>
        <w:t>Finances :</w:t>
      </w:r>
    </w:p>
    <w:p w14:paraId="23DD7078" w14:textId="77777777" w:rsidR="0026499A" w:rsidRPr="00A16AA1" w:rsidRDefault="0026499A" w:rsidP="00795895">
      <w:pPr>
        <w:rPr>
          <w:rFonts w:ascii="Gotham" w:hAnsi="Gotham"/>
          <w:b/>
          <w:bCs/>
        </w:rPr>
      </w:pPr>
    </w:p>
    <w:p w14:paraId="6F57AA41" w14:textId="0BA4DCA1" w:rsidR="006D46FB" w:rsidRPr="00A16AA1" w:rsidRDefault="006D46FB" w:rsidP="00795895">
      <w:pPr>
        <w:rPr>
          <w:rFonts w:ascii="Gotham" w:hAnsi="Gotham"/>
          <w:b/>
          <w:bCs/>
        </w:rPr>
      </w:pPr>
      <w:r w:rsidRPr="00A16AA1">
        <w:rPr>
          <w:rFonts w:ascii="Gotham" w:hAnsi="Gotham"/>
          <w:b/>
          <w:bCs/>
        </w:rPr>
        <w:t xml:space="preserve">Budget 2025 </w:t>
      </w:r>
    </w:p>
    <w:p w14:paraId="6AA8A82B" w14:textId="77777777" w:rsidR="0026499A" w:rsidRPr="0026499A" w:rsidRDefault="0026499A" w:rsidP="00143316">
      <w:pPr>
        <w:jc w:val="both"/>
        <w:rPr>
          <w:rFonts w:ascii="Gotham" w:hAnsi="Gotham"/>
        </w:rPr>
      </w:pPr>
      <w:r w:rsidRPr="0026499A">
        <w:rPr>
          <w:rFonts w:ascii="Gotham" w:hAnsi="Gotham"/>
        </w:rPr>
        <w:t>Monsieur le Président expose que le budget 2024 du SIVSC sera voté en février 2025, mais qu’avant cette décision, le SIVSC a besoin de fonctionner et donc de procéder à des dépenses, et d’encaisser des recettes courantes.</w:t>
      </w:r>
    </w:p>
    <w:p w14:paraId="634869DD" w14:textId="77777777" w:rsidR="0026499A" w:rsidRPr="0026499A" w:rsidRDefault="0026499A" w:rsidP="00143316">
      <w:pPr>
        <w:jc w:val="both"/>
        <w:rPr>
          <w:rFonts w:ascii="Gotham" w:hAnsi="Gotham"/>
        </w:rPr>
      </w:pPr>
      <w:r w:rsidRPr="0026499A">
        <w:rPr>
          <w:rFonts w:ascii="Gotham" w:hAnsi="Gotham"/>
        </w:rPr>
        <w:t>Pour ces raisons, il propose au comité Syndical d’autoriser l’engagement et la liquidation des dépenses d’investissement à hauteur de la limite autorisée par la loi, à savoir un quart des dépenses prévues au budget 2023 (hors reports et remboursement de la dette).</w:t>
      </w:r>
    </w:p>
    <w:p w14:paraId="6C1220DE" w14:textId="77777777" w:rsidR="0026499A" w:rsidRPr="0026499A" w:rsidRDefault="0026499A" w:rsidP="00143316">
      <w:pPr>
        <w:jc w:val="both"/>
        <w:rPr>
          <w:rFonts w:ascii="Gotham" w:hAnsi="Gotham"/>
        </w:rPr>
      </w:pPr>
      <w:r w:rsidRPr="0026499A">
        <w:rPr>
          <w:rFonts w:ascii="Gotham" w:hAnsi="Gotham"/>
        </w:rPr>
        <w:t xml:space="preserve">Le budget 2024 </w:t>
      </w:r>
      <w:proofErr w:type="gramStart"/>
      <w:r w:rsidRPr="0026499A">
        <w:rPr>
          <w:rFonts w:ascii="Gotham" w:hAnsi="Gotham"/>
        </w:rPr>
        <w:t>prévoyait  837</w:t>
      </w:r>
      <w:proofErr w:type="gramEnd"/>
      <w:r w:rsidRPr="0026499A">
        <w:rPr>
          <w:rFonts w:ascii="Gotham" w:hAnsi="Gotham"/>
        </w:rPr>
        <w:t xml:space="preserve"> 813.51 </w:t>
      </w:r>
      <w:r w:rsidRPr="0026499A">
        <w:rPr>
          <w:rFonts w:ascii="Times New Roman" w:hAnsi="Times New Roman" w:cs="Times New Roman"/>
        </w:rPr>
        <w:t>€</w:t>
      </w:r>
      <w:r w:rsidRPr="0026499A">
        <w:rPr>
          <w:rFonts w:ascii="Gotham" w:hAnsi="Gotham"/>
        </w:rPr>
        <w:t xml:space="preserve"> de dépenses d’investissement (hors reports et remboursement de la dette). </w:t>
      </w:r>
    </w:p>
    <w:p w14:paraId="0E83DFD5" w14:textId="77777777" w:rsidR="0026499A" w:rsidRPr="0026499A" w:rsidRDefault="0026499A" w:rsidP="00143316">
      <w:pPr>
        <w:jc w:val="both"/>
        <w:rPr>
          <w:rFonts w:ascii="Gotham" w:hAnsi="Gotham"/>
        </w:rPr>
      </w:pPr>
      <w:r w:rsidRPr="0026499A">
        <w:rPr>
          <w:rFonts w:ascii="Gotham" w:hAnsi="Gotham"/>
        </w:rPr>
        <w:t xml:space="preserve">La limite autorisée correspond au quart de cette somme, soit 209 453.37 </w:t>
      </w:r>
      <w:r w:rsidRPr="0026499A">
        <w:rPr>
          <w:rFonts w:ascii="Times New Roman" w:hAnsi="Times New Roman" w:cs="Times New Roman"/>
        </w:rPr>
        <w:t>€</w:t>
      </w:r>
      <w:r w:rsidRPr="0026499A">
        <w:rPr>
          <w:rFonts w:ascii="Gotham" w:hAnsi="Gotham"/>
        </w:rPr>
        <w:t>.</w:t>
      </w:r>
    </w:p>
    <w:p w14:paraId="742EB987" w14:textId="79CB35C5" w:rsidR="0026499A" w:rsidRPr="0026499A" w:rsidRDefault="0026499A" w:rsidP="00143316">
      <w:pPr>
        <w:jc w:val="both"/>
        <w:rPr>
          <w:rFonts w:ascii="Gotham" w:hAnsi="Gotham"/>
        </w:rPr>
      </w:pPr>
      <w:r w:rsidRPr="0026499A">
        <w:rPr>
          <w:rFonts w:ascii="Gotham" w:hAnsi="Gotham"/>
        </w:rPr>
        <w:t>Le Président propose d’inscrire à cette autorisation, les dépenses d’investissement suivantes :</w:t>
      </w:r>
    </w:p>
    <w:p w14:paraId="3F90775D" w14:textId="77777777" w:rsidR="0026499A" w:rsidRPr="0026499A" w:rsidRDefault="0026499A" w:rsidP="00143316">
      <w:pPr>
        <w:numPr>
          <w:ilvl w:val="0"/>
          <w:numId w:val="3"/>
        </w:numPr>
        <w:jc w:val="both"/>
        <w:rPr>
          <w:rFonts w:ascii="Gotham" w:hAnsi="Gotham"/>
        </w:rPr>
      </w:pPr>
      <w:r w:rsidRPr="0026499A">
        <w:rPr>
          <w:rFonts w:ascii="Gotham" w:hAnsi="Gotham"/>
        </w:rPr>
        <w:t xml:space="preserve">Frais étude pour construction </w:t>
      </w:r>
      <w:proofErr w:type="gramStart"/>
      <w:r w:rsidRPr="0026499A">
        <w:rPr>
          <w:rFonts w:ascii="Gotham" w:hAnsi="Gotham"/>
        </w:rPr>
        <w:t>d’un micro-crèche</w:t>
      </w:r>
      <w:proofErr w:type="gramEnd"/>
      <w:r w:rsidRPr="0026499A">
        <w:rPr>
          <w:rFonts w:ascii="Gotham" w:hAnsi="Gotham"/>
        </w:rPr>
        <w:t xml:space="preserve"> : 12 000 </w:t>
      </w:r>
      <w:r w:rsidRPr="0026499A">
        <w:rPr>
          <w:rFonts w:ascii="Times New Roman" w:hAnsi="Times New Roman" w:cs="Times New Roman"/>
        </w:rPr>
        <w:t>€</w:t>
      </w:r>
      <w:r w:rsidRPr="0026499A">
        <w:rPr>
          <w:rFonts w:ascii="Gotham" w:hAnsi="Gotham"/>
        </w:rPr>
        <w:t xml:space="preserve"> (cpte 2031 – fonction : 020)</w:t>
      </w:r>
    </w:p>
    <w:p w14:paraId="2440066D" w14:textId="77777777" w:rsidR="0026499A" w:rsidRPr="0026499A" w:rsidRDefault="0026499A" w:rsidP="00143316">
      <w:pPr>
        <w:numPr>
          <w:ilvl w:val="0"/>
          <w:numId w:val="3"/>
        </w:numPr>
        <w:jc w:val="both"/>
        <w:rPr>
          <w:rFonts w:ascii="Gotham" w:hAnsi="Gotham"/>
        </w:rPr>
      </w:pPr>
      <w:r w:rsidRPr="0026499A">
        <w:rPr>
          <w:rFonts w:ascii="Gotham" w:hAnsi="Gotham"/>
        </w:rPr>
        <w:t xml:space="preserve">Achat équipement scolaire : 19 500 </w:t>
      </w:r>
      <w:proofErr w:type="gramStart"/>
      <w:r w:rsidRPr="0026499A">
        <w:rPr>
          <w:rFonts w:ascii="Times New Roman" w:hAnsi="Times New Roman" w:cs="Times New Roman"/>
        </w:rPr>
        <w:t>€</w:t>
      </w:r>
      <w:r w:rsidRPr="0026499A">
        <w:rPr>
          <w:rFonts w:ascii="Gotham" w:hAnsi="Gotham"/>
        </w:rPr>
        <w:t xml:space="preserve">  (</w:t>
      </w:r>
      <w:proofErr w:type="gramEnd"/>
      <w:r w:rsidRPr="0026499A">
        <w:rPr>
          <w:rFonts w:ascii="Gotham" w:hAnsi="Gotham"/>
        </w:rPr>
        <w:t>compte 2188- fonction 212)</w:t>
      </w:r>
    </w:p>
    <w:p w14:paraId="4BDC11CB" w14:textId="17C01322" w:rsidR="006D46FB" w:rsidRPr="00A16AA1" w:rsidRDefault="00EA011F" w:rsidP="00795895">
      <w:pPr>
        <w:rPr>
          <w:rFonts w:ascii="Gotham" w:hAnsi="Gotham"/>
        </w:rPr>
      </w:pPr>
      <w:r w:rsidRPr="00A16AA1">
        <w:rPr>
          <w:rFonts w:ascii="Gotham" w:hAnsi="Gotham"/>
        </w:rPr>
        <w:t>Votée à l’unanimité</w:t>
      </w:r>
    </w:p>
    <w:p w14:paraId="1FC87B23" w14:textId="77777777" w:rsidR="006D46FB" w:rsidRPr="00A16AA1" w:rsidRDefault="006D46FB" w:rsidP="00795895">
      <w:pPr>
        <w:rPr>
          <w:rFonts w:ascii="Gotham" w:hAnsi="Gotham"/>
        </w:rPr>
      </w:pPr>
    </w:p>
    <w:p w14:paraId="1E3673D1" w14:textId="54A3823F" w:rsidR="00795895" w:rsidRPr="00A16AA1" w:rsidRDefault="00795895" w:rsidP="00795895">
      <w:pPr>
        <w:rPr>
          <w:rFonts w:ascii="Gotham" w:hAnsi="Gotham"/>
          <w:b/>
          <w:bCs/>
        </w:rPr>
      </w:pPr>
      <w:r w:rsidRPr="00A16AA1">
        <w:rPr>
          <w:rFonts w:ascii="Gotham" w:hAnsi="Gotham"/>
          <w:b/>
          <w:bCs/>
        </w:rPr>
        <w:t xml:space="preserve">Décision modificative </w:t>
      </w:r>
    </w:p>
    <w:p w14:paraId="30A8BB86" w14:textId="77777777" w:rsidR="000D273D" w:rsidRDefault="004036D1" w:rsidP="00143316">
      <w:pPr>
        <w:jc w:val="both"/>
        <w:rPr>
          <w:rFonts w:ascii="Gotham" w:hAnsi="Gotham"/>
        </w:rPr>
      </w:pPr>
      <w:r w:rsidRPr="00A16AA1">
        <w:rPr>
          <w:rFonts w:ascii="Gotham" w:hAnsi="Gotham"/>
        </w:rPr>
        <w:t>Monsieur le Président rappelle que les subventions d’investissement rattachées aux actifs amortissables doivent faire chaque année l’objet d’une reprise à la section de fonctionnement et disparaître ainsi du bilan parallèlement à l’amortissement de l’immobilisation. La reprise des subventions transférables est une obligation réglementaire.</w:t>
      </w:r>
      <w:r w:rsidRPr="00A16AA1">
        <w:rPr>
          <w:rFonts w:ascii="Gotham" w:hAnsi="Gotham"/>
        </w:rPr>
        <w:br/>
        <w:t> </w:t>
      </w:r>
      <w:r w:rsidRPr="00A16AA1">
        <w:rPr>
          <w:rFonts w:ascii="Gotham" w:hAnsi="Gotham"/>
        </w:rPr>
        <w:br/>
      </w:r>
      <w:r w:rsidRPr="00A16AA1">
        <w:rPr>
          <w:rFonts w:ascii="Gotham" w:hAnsi="Gotham"/>
        </w:rPr>
        <w:lastRenderedPageBreak/>
        <w:t>La reprise annuelle est constatée au débit du compte 1391x par le crédit du compte 777 « Quote-part des subventions d’investissement transférée au compte de résultat » (opération d’ordre budgétaire).</w:t>
      </w:r>
    </w:p>
    <w:p w14:paraId="79BBD2F1" w14:textId="77E0431D" w:rsidR="000D273D" w:rsidRDefault="004036D1" w:rsidP="00143316">
      <w:pPr>
        <w:jc w:val="both"/>
        <w:rPr>
          <w:rFonts w:ascii="Gotham" w:hAnsi="Gotham"/>
        </w:rPr>
      </w:pPr>
      <w:r w:rsidRPr="00A16AA1">
        <w:rPr>
          <w:rFonts w:ascii="Gotham" w:hAnsi="Gotham"/>
        </w:rPr>
        <w:t xml:space="preserve"> </w:t>
      </w:r>
      <w:r w:rsidRPr="00A16AA1">
        <w:rPr>
          <w:rFonts w:ascii="Gotham" w:hAnsi="Gotham"/>
        </w:rPr>
        <w:br/>
        <w:t>Monsieur le Président explique que les reprises de subventions n’ont pas été budgétées au BP 2024 et que par conséquent des crédits doivent être votés.</w:t>
      </w:r>
    </w:p>
    <w:p w14:paraId="5FA9445D" w14:textId="214BF327" w:rsidR="00554CFE" w:rsidRPr="00A16AA1" w:rsidRDefault="004036D1" w:rsidP="00C226DD">
      <w:pPr>
        <w:rPr>
          <w:rFonts w:ascii="Gotham" w:hAnsi="Gotham"/>
        </w:rPr>
      </w:pPr>
      <w:r w:rsidRPr="00A16AA1">
        <w:rPr>
          <w:rFonts w:ascii="Gotham" w:hAnsi="Gotham"/>
        </w:rPr>
        <w:t> Monsieur le Président propose la décision modificative suivante :</w:t>
      </w:r>
    </w:p>
    <w:tbl>
      <w:tblPr>
        <w:tblW w:w="9938" w:type="dxa"/>
        <w:tblCellMar>
          <w:left w:w="0" w:type="dxa"/>
          <w:right w:w="0" w:type="dxa"/>
        </w:tblCellMar>
        <w:tblLook w:val="04A0" w:firstRow="1" w:lastRow="0" w:firstColumn="1" w:lastColumn="0" w:noHBand="0" w:noVBand="1"/>
      </w:tblPr>
      <w:tblGrid>
        <w:gridCol w:w="3450"/>
        <w:gridCol w:w="1773"/>
        <w:gridCol w:w="2697"/>
        <w:gridCol w:w="2018"/>
      </w:tblGrid>
      <w:tr w:rsidR="00225340" w:rsidRPr="0034467E" w14:paraId="20CC9A70" w14:textId="77777777" w:rsidTr="00EC3309">
        <w:trPr>
          <w:trHeight w:val="366"/>
        </w:trPr>
        <w:tc>
          <w:tcPr>
            <w:tcW w:w="5223" w:type="dxa"/>
            <w:gridSpan w:val="2"/>
            <w:tcBorders>
              <w:top w:val="single" w:sz="8" w:space="0" w:color="FFFFFF"/>
              <w:left w:val="single" w:sz="8" w:space="0" w:color="FFFFFF"/>
              <w:bottom w:val="single" w:sz="24" w:space="0" w:color="FFFFFF"/>
              <w:right w:val="single" w:sz="8" w:space="0" w:color="FFFFFF"/>
            </w:tcBorders>
            <w:shd w:val="clear" w:color="auto" w:fill="0F4761" w:themeFill="accent1" w:themeFillShade="BF"/>
            <w:tcMar>
              <w:top w:w="15" w:type="dxa"/>
              <w:left w:w="70" w:type="dxa"/>
              <w:bottom w:w="0" w:type="dxa"/>
              <w:right w:w="70" w:type="dxa"/>
            </w:tcMar>
            <w:vAlign w:val="center"/>
            <w:hideMark/>
          </w:tcPr>
          <w:p w14:paraId="15AFAF2A" w14:textId="77777777" w:rsidR="00225340" w:rsidRPr="0034467E" w:rsidRDefault="00225340" w:rsidP="0034467E">
            <w:pPr>
              <w:rPr>
                <w:color w:val="FFFFFF" w:themeColor="background1"/>
              </w:rPr>
            </w:pPr>
            <w:r w:rsidRPr="0034467E">
              <w:rPr>
                <w:b/>
                <w:bCs/>
                <w:color w:val="FFFFFF" w:themeColor="background1"/>
              </w:rPr>
              <w:t>Dépenses de fonctionnement</w:t>
            </w:r>
          </w:p>
        </w:tc>
        <w:tc>
          <w:tcPr>
            <w:tcW w:w="4715" w:type="dxa"/>
            <w:gridSpan w:val="2"/>
            <w:tcBorders>
              <w:top w:val="single" w:sz="8" w:space="0" w:color="FFFFFF"/>
              <w:left w:val="single" w:sz="8" w:space="0" w:color="FFFFFF"/>
              <w:bottom w:val="single" w:sz="24" w:space="0" w:color="FFFFFF"/>
              <w:right w:val="single" w:sz="8" w:space="0" w:color="FFFFFF"/>
            </w:tcBorders>
            <w:shd w:val="clear" w:color="auto" w:fill="0F4761" w:themeFill="accent1" w:themeFillShade="BF"/>
            <w:tcMar>
              <w:top w:w="15" w:type="dxa"/>
              <w:left w:w="70" w:type="dxa"/>
              <w:bottom w:w="0" w:type="dxa"/>
              <w:right w:w="70" w:type="dxa"/>
            </w:tcMar>
            <w:vAlign w:val="bottom"/>
            <w:hideMark/>
          </w:tcPr>
          <w:p w14:paraId="0E990E77" w14:textId="77777777" w:rsidR="00225340" w:rsidRPr="0034467E" w:rsidRDefault="00225340" w:rsidP="0034467E">
            <w:pPr>
              <w:rPr>
                <w:color w:val="FFFFFF" w:themeColor="background1"/>
              </w:rPr>
            </w:pPr>
            <w:r w:rsidRPr="0034467E">
              <w:rPr>
                <w:b/>
                <w:bCs/>
                <w:color w:val="FFFFFF" w:themeColor="background1"/>
              </w:rPr>
              <w:t>Recettes de fonctionnement</w:t>
            </w:r>
          </w:p>
        </w:tc>
      </w:tr>
      <w:tr w:rsidR="00225340" w:rsidRPr="0034467E" w14:paraId="692BCF1D" w14:textId="77777777" w:rsidTr="00EC3309">
        <w:trPr>
          <w:trHeight w:val="1467"/>
        </w:trPr>
        <w:tc>
          <w:tcPr>
            <w:tcW w:w="3450" w:type="dxa"/>
            <w:tcBorders>
              <w:top w:val="single" w:sz="24" w:space="0" w:color="FFFFFF"/>
              <w:left w:val="single" w:sz="8" w:space="0" w:color="FFFFFF"/>
              <w:bottom w:val="single" w:sz="8" w:space="0" w:color="FFFFFF"/>
              <w:right w:val="single" w:sz="8" w:space="0" w:color="FFFFFF"/>
            </w:tcBorders>
            <w:shd w:val="clear" w:color="auto" w:fill="156082"/>
            <w:tcMar>
              <w:top w:w="15" w:type="dxa"/>
              <w:left w:w="70" w:type="dxa"/>
              <w:bottom w:w="0" w:type="dxa"/>
              <w:right w:w="70" w:type="dxa"/>
            </w:tcMar>
            <w:vAlign w:val="center"/>
            <w:hideMark/>
          </w:tcPr>
          <w:p w14:paraId="644D7ECC" w14:textId="77777777" w:rsidR="00225340" w:rsidRPr="0034467E" w:rsidRDefault="00225340" w:rsidP="0034467E">
            <w:pPr>
              <w:rPr>
                <w:color w:val="FFFFFF" w:themeColor="background1"/>
              </w:rPr>
            </w:pPr>
            <w:r w:rsidRPr="0034467E">
              <w:rPr>
                <w:b/>
                <w:bCs/>
                <w:color w:val="FFFFFF" w:themeColor="background1"/>
              </w:rPr>
              <w:t>023 - Virement à la section d'investissement</w:t>
            </w:r>
          </w:p>
        </w:tc>
        <w:tc>
          <w:tcPr>
            <w:tcW w:w="1772" w:type="dxa"/>
            <w:tcBorders>
              <w:top w:val="single" w:sz="24" w:space="0" w:color="FFFFFF"/>
              <w:left w:val="single" w:sz="8" w:space="0" w:color="FFFFFF"/>
              <w:bottom w:val="single" w:sz="8" w:space="0" w:color="FFFFFF"/>
              <w:right w:val="single" w:sz="8" w:space="0" w:color="FFFFFF"/>
            </w:tcBorders>
            <w:shd w:val="clear" w:color="auto" w:fill="CCD2D8"/>
            <w:tcMar>
              <w:top w:w="15" w:type="dxa"/>
              <w:left w:w="70" w:type="dxa"/>
              <w:bottom w:w="0" w:type="dxa"/>
              <w:right w:w="70" w:type="dxa"/>
            </w:tcMar>
            <w:vAlign w:val="center"/>
            <w:hideMark/>
          </w:tcPr>
          <w:p w14:paraId="0C063639" w14:textId="77777777" w:rsidR="00225340" w:rsidRPr="0034467E" w:rsidRDefault="00225340" w:rsidP="0034467E">
            <w:r w:rsidRPr="0034467E">
              <w:t>+16 814.29 €</w:t>
            </w:r>
          </w:p>
        </w:tc>
        <w:tc>
          <w:tcPr>
            <w:tcW w:w="2697" w:type="dxa"/>
            <w:tcBorders>
              <w:top w:val="single" w:sz="24" w:space="0" w:color="FFFFFF"/>
              <w:left w:val="single" w:sz="8" w:space="0" w:color="FFFFFF"/>
              <w:bottom w:val="single" w:sz="8" w:space="0" w:color="FFFFFF"/>
              <w:right w:val="single" w:sz="8" w:space="0" w:color="FFFFFF"/>
            </w:tcBorders>
            <w:shd w:val="clear" w:color="auto" w:fill="CCD2D8"/>
            <w:tcMar>
              <w:top w:w="15" w:type="dxa"/>
              <w:left w:w="70" w:type="dxa"/>
              <w:bottom w:w="0" w:type="dxa"/>
              <w:right w:w="70" w:type="dxa"/>
            </w:tcMar>
            <w:vAlign w:val="bottom"/>
            <w:hideMark/>
          </w:tcPr>
          <w:p w14:paraId="6A8CBF6F" w14:textId="77777777" w:rsidR="00225340" w:rsidRPr="0034467E" w:rsidRDefault="00225340" w:rsidP="0034467E">
            <w:r w:rsidRPr="0034467E">
              <w:t>042/777 - Quote-part des subventions d’investissement transférée au compte de résultat</w:t>
            </w:r>
          </w:p>
        </w:tc>
        <w:tc>
          <w:tcPr>
            <w:tcW w:w="2018" w:type="dxa"/>
            <w:tcBorders>
              <w:top w:val="single" w:sz="24" w:space="0" w:color="FFFFFF"/>
              <w:left w:val="single" w:sz="8" w:space="0" w:color="FFFFFF"/>
              <w:bottom w:val="single" w:sz="8" w:space="0" w:color="FFFFFF"/>
              <w:right w:val="single" w:sz="8" w:space="0" w:color="FFFFFF"/>
            </w:tcBorders>
            <w:shd w:val="clear" w:color="auto" w:fill="CCD2D8"/>
            <w:tcMar>
              <w:top w:w="15" w:type="dxa"/>
              <w:left w:w="70" w:type="dxa"/>
              <w:bottom w:w="0" w:type="dxa"/>
              <w:right w:w="70" w:type="dxa"/>
            </w:tcMar>
            <w:vAlign w:val="center"/>
            <w:hideMark/>
          </w:tcPr>
          <w:p w14:paraId="3498E8E8" w14:textId="77777777" w:rsidR="00225340" w:rsidRPr="0034467E" w:rsidRDefault="00225340" w:rsidP="0034467E">
            <w:r w:rsidRPr="0034467E">
              <w:t>+16 814.29 €</w:t>
            </w:r>
          </w:p>
        </w:tc>
      </w:tr>
      <w:tr w:rsidR="00225340" w:rsidRPr="0034467E" w14:paraId="5FA30F9C" w14:textId="77777777" w:rsidTr="00EC3309">
        <w:trPr>
          <w:trHeight w:val="366"/>
        </w:trPr>
        <w:tc>
          <w:tcPr>
            <w:tcW w:w="3450" w:type="dxa"/>
            <w:tcBorders>
              <w:top w:val="single" w:sz="8" w:space="0" w:color="FFFFFF"/>
              <w:left w:val="single" w:sz="8" w:space="0" w:color="FFFFFF"/>
              <w:bottom w:val="single" w:sz="8" w:space="0" w:color="FFFFFF"/>
              <w:right w:val="single" w:sz="8" w:space="0" w:color="FFFFFF"/>
            </w:tcBorders>
            <w:shd w:val="clear" w:color="auto" w:fill="156082"/>
            <w:tcMar>
              <w:top w:w="15" w:type="dxa"/>
              <w:left w:w="70" w:type="dxa"/>
              <w:bottom w:w="0" w:type="dxa"/>
              <w:right w:w="70" w:type="dxa"/>
            </w:tcMar>
            <w:vAlign w:val="bottom"/>
            <w:hideMark/>
          </w:tcPr>
          <w:p w14:paraId="09441F81" w14:textId="77777777" w:rsidR="00225340" w:rsidRPr="0034467E" w:rsidRDefault="00225340" w:rsidP="0034467E">
            <w:pPr>
              <w:rPr>
                <w:color w:val="FFFFFF" w:themeColor="background1"/>
              </w:rPr>
            </w:pPr>
            <w:r w:rsidRPr="0034467E">
              <w:rPr>
                <w:b/>
                <w:bCs/>
                <w:color w:val="FFFFFF" w:themeColor="background1"/>
              </w:rPr>
              <w:t>TOTAL FONCTIONNEMENT</w:t>
            </w:r>
          </w:p>
        </w:tc>
        <w:tc>
          <w:tcPr>
            <w:tcW w:w="1772" w:type="dxa"/>
            <w:tcBorders>
              <w:top w:val="single" w:sz="8" w:space="0" w:color="FFFFFF"/>
              <w:left w:val="single" w:sz="8" w:space="0" w:color="FFFFFF"/>
              <w:bottom w:val="single" w:sz="8" w:space="0" w:color="FFFFFF"/>
              <w:right w:val="single" w:sz="8" w:space="0" w:color="FFFFFF"/>
            </w:tcBorders>
            <w:shd w:val="clear" w:color="auto" w:fill="CCD2D8"/>
            <w:tcMar>
              <w:top w:w="15" w:type="dxa"/>
              <w:left w:w="70" w:type="dxa"/>
              <w:bottom w:w="0" w:type="dxa"/>
              <w:right w:w="70" w:type="dxa"/>
            </w:tcMar>
            <w:vAlign w:val="center"/>
            <w:hideMark/>
          </w:tcPr>
          <w:p w14:paraId="15795BC0" w14:textId="77777777" w:rsidR="00225340" w:rsidRPr="0034467E" w:rsidRDefault="00225340" w:rsidP="0034467E">
            <w:r w:rsidRPr="0034467E">
              <w:t>+</w:t>
            </w:r>
            <w:r w:rsidRPr="0034467E">
              <w:rPr>
                <w:b/>
                <w:bCs/>
              </w:rPr>
              <w:t>16 814.29 €</w:t>
            </w:r>
          </w:p>
        </w:tc>
        <w:tc>
          <w:tcPr>
            <w:tcW w:w="2697" w:type="dxa"/>
            <w:tcBorders>
              <w:top w:val="single" w:sz="8" w:space="0" w:color="FFFFFF"/>
              <w:left w:val="single" w:sz="8" w:space="0" w:color="FFFFFF"/>
              <w:bottom w:val="single" w:sz="8" w:space="0" w:color="FFFFFF"/>
              <w:right w:val="single" w:sz="8" w:space="0" w:color="FFFFFF"/>
            </w:tcBorders>
            <w:shd w:val="clear" w:color="auto" w:fill="CCD2D8"/>
            <w:tcMar>
              <w:top w:w="15" w:type="dxa"/>
              <w:left w:w="70" w:type="dxa"/>
              <w:bottom w:w="0" w:type="dxa"/>
              <w:right w:w="70" w:type="dxa"/>
            </w:tcMar>
            <w:vAlign w:val="bottom"/>
            <w:hideMark/>
          </w:tcPr>
          <w:p w14:paraId="7DD5853C" w14:textId="77777777" w:rsidR="00225340" w:rsidRPr="0034467E" w:rsidRDefault="00225340" w:rsidP="0034467E"/>
        </w:tc>
        <w:tc>
          <w:tcPr>
            <w:tcW w:w="2018" w:type="dxa"/>
            <w:tcBorders>
              <w:top w:val="single" w:sz="8" w:space="0" w:color="FFFFFF"/>
              <w:left w:val="single" w:sz="8" w:space="0" w:color="FFFFFF"/>
              <w:bottom w:val="single" w:sz="8" w:space="0" w:color="FFFFFF"/>
              <w:right w:val="single" w:sz="8" w:space="0" w:color="FFFFFF"/>
            </w:tcBorders>
            <w:shd w:val="clear" w:color="auto" w:fill="CCD2D8"/>
            <w:tcMar>
              <w:top w:w="15" w:type="dxa"/>
              <w:left w:w="70" w:type="dxa"/>
              <w:bottom w:w="0" w:type="dxa"/>
              <w:right w:w="70" w:type="dxa"/>
            </w:tcMar>
            <w:vAlign w:val="bottom"/>
            <w:hideMark/>
          </w:tcPr>
          <w:p w14:paraId="036548B6" w14:textId="77777777" w:rsidR="00225340" w:rsidRPr="0034467E" w:rsidRDefault="00225340" w:rsidP="0034467E">
            <w:r w:rsidRPr="0034467E">
              <w:t>+</w:t>
            </w:r>
            <w:r w:rsidRPr="0034467E">
              <w:rPr>
                <w:b/>
                <w:bCs/>
              </w:rPr>
              <w:t>16 814.29 €</w:t>
            </w:r>
          </w:p>
        </w:tc>
      </w:tr>
      <w:tr w:rsidR="00225340" w:rsidRPr="0034467E" w14:paraId="0D6EB5C4" w14:textId="77777777" w:rsidTr="00EC3309">
        <w:trPr>
          <w:trHeight w:val="264"/>
        </w:trPr>
        <w:tc>
          <w:tcPr>
            <w:tcW w:w="3450" w:type="dxa"/>
            <w:tcBorders>
              <w:top w:val="single" w:sz="8" w:space="0" w:color="FFFFFF"/>
              <w:left w:val="single" w:sz="8" w:space="0" w:color="FFFFFF"/>
              <w:bottom w:val="single" w:sz="8" w:space="0" w:color="FFFFFF"/>
              <w:right w:val="single" w:sz="8" w:space="0" w:color="FFFFFF"/>
            </w:tcBorders>
            <w:shd w:val="clear" w:color="auto" w:fill="156082"/>
            <w:tcMar>
              <w:top w:w="15" w:type="dxa"/>
              <w:left w:w="70" w:type="dxa"/>
              <w:bottom w:w="0" w:type="dxa"/>
              <w:right w:w="70" w:type="dxa"/>
            </w:tcMar>
            <w:vAlign w:val="bottom"/>
          </w:tcPr>
          <w:p w14:paraId="0D9AB4EF" w14:textId="77777777" w:rsidR="00225340" w:rsidRPr="0034467E" w:rsidRDefault="00225340" w:rsidP="0034467E"/>
        </w:tc>
        <w:tc>
          <w:tcPr>
            <w:tcW w:w="1772" w:type="dxa"/>
            <w:tcBorders>
              <w:top w:val="single" w:sz="8" w:space="0" w:color="FFFFFF"/>
              <w:left w:val="single" w:sz="8" w:space="0" w:color="FFFFFF"/>
              <w:bottom w:val="single" w:sz="8" w:space="0" w:color="FFFFFF"/>
              <w:right w:val="single" w:sz="8" w:space="0" w:color="FFFFFF"/>
            </w:tcBorders>
            <w:shd w:val="clear" w:color="auto" w:fill="E7EAED"/>
            <w:tcMar>
              <w:top w:w="15" w:type="dxa"/>
              <w:left w:w="70" w:type="dxa"/>
              <w:bottom w:w="0" w:type="dxa"/>
              <w:right w:w="70" w:type="dxa"/>
            </w:tcMar>
            <w:vAlign w:val="bottom"/>
          </w:tcPr>
          <w:p w14:paraId="031BDF76" w14:textId="77777777" w:rsidR="00225340" w:rsidRPr="0034467E" w:rsidRDefault="00225340" w:rsidP="0034467E"/>
        </w:tc>
        <w:tc>
          <w:tcPr>
            <w:tcW w:w="2697" w:type="dxa"/>
            <w:tcBorders>
              <w:top w:val="single" w:sz="8" w:space="0" w:color="FFFFFF"/>
              <w:left w:val="single" w:sz="8" w:space="0" w:color="FFFFFF"/>
              <w:bottom w:val="single" w:sz="8" w:space="0" w:color="FFFFFF"/>
              <w:right w:val="single" w:sz="8" w:space="0" w:color="FFFFFF"/>
            </w:tcBorders>
            <w:shd w:val="clear" w:color="auto" w:fill="E7EAED"/>
            <w:tcMar>
              <w:top w:w="15" w:type="dxa"/>
              <w:left w:w="70" w:type="dxa"/>
              <w:bottom w:w="0" w:type="dxa"/>
              <w:right w:w="70" w:type="dxa"/>
            </w:tcMar>
            <w:vAlign w:val="bottom"/>
          </w:tcPr>
          <w:p w14:paraId="417F0C2E" w14:textId="77777777" w:rsidR="00225340" w:rsidRPr="0034467E" w:rsidRDefault="00225340" w:rsidP="0034467E"/>
        </w:tc>
        <w:tc>
          <w:tcPr>
            <w:tcW w:w="2018" w:type="dxa"/>
            <w:tcBorders>
              <w:top w:val="single" w:sz="8" w:space="0" w:color="FFFFFF"/>
              <w:left w:val="single" w:sz="8" w:space="0" w:color="FFFFFF"/>
              <w:bottom w:val="single" w:sz="8" w:space="0" w:color="FFFFFF"/>
              <w:right w:val="single" w:sz="8" w:space="0" w:color="FFFFFF"/>
            </w:tcBorders>
            <w:shd w:val="clear" w:color="auto" w:fill="E7EAED"/>
            <w:tcMar>
              <w:top w:w="15" w:type="dxa"/>
              <w:left w:w="70" w:type="dxa"/>
              <w:bottom w:w="0" w:type="dxa"/>
              <w:right w:w="70" w:type="dxa"/>
            </w:tcMar>
            <w:vAlign w:val="bottom"/>
          </w:tcPr>
          <w:p w14:paraId="42032351" w14:textId="77777777" w:rsidR="00225340" w:rsidRPr="0034467E" w:rsidRDefault="00225340" w:rsidP="0034467E"/>
        </w:tc>
      </w:tr>
      <w:tr w:rsidR="00225340" w:rsidRPr="006D46FB" w14:paraId="31508977" w14:textId="77777777" w:rsidTr="00EC3309">
        <w:trPr>
          <w:trHeight w:val="366"/>
        </w:trPr>
        <w:tc>
          <w:tcPr>
            <w:tcW w:w="5223" w:type="dxa"/>
            <w:gridSpan w:val="2"/>
            <w:tcBorders>
              <w:top w:val="single" w:sz="8" w:space="0" w:color="FFFFFF"/>
              <w:left w:val="single" w:sz="8" w:space="0" w:color="FFFFFF"/>
              <w:bottom w:val="single" w:sz="8" w:space="0" w:color="FFFFFF"/>
              <w:right w:val="single" w:sz="8" w:space="0" w:color="FFFFFF"/>
            </w:tcBorders>
            <w:shd w:val="clear" w:color="auto" w:fill="0F4761" w:themeFill="accent1" w:themeFillShade="BF"/>
            <w:tcMar>
              <w:top w:w="15" w:type="dxa"/>
              <w:left w:w="70" w:type="dxa"/>
              <w:bottom w:w="0" w:type="dxa"/>
              <w:right w:w="70" w:type="dxa"/>
            </w:tcMar>
            <w:vAlign w:val="center"/>
            <w:hideMark/>
          </w:tcPr>
          <w:p w14:paraId="6B3FE3C9" w14:textId="77777777" w:rsidR="00225340" w:rsidRPr="0034467E" w:rsidRDefault="00225340" w:rsidP="0034467E">
            <w:pPr>
              <w:rPr>
                <w:b/>
                <w:bCs/>
                <w:color w:val="FFFFFF" w:themeColor="background1"/>
              </w:rPr>
            </w:pPr>
            <w:r w:rsidRPr="0034467E">
              <w:rPr>
                <w:b/>
                <w:bCs/>
                <w:color w:val="FFFFFF" w:themeColor="background1"/>
              </w:rPr>
              <w:t>Dépenses d'investissement</w:t>
            </w:r>
          </w:p>
        </w:tc>
        <w:tc>
          <w:tcPr>
            <w:tcW w:w="4715" w:type="dxa"/>
            <w:gridSpan w:val="2"/>
            <w:tcBorders>
              <w:top w:val="single" w:sz="8" w:space="0" w:color="FFFFFF"/>
              <w:left w:val="single" w:sz="8" w:space="0" w:color="FFFFFF"/>
              <w:bottom w:val="single" w:sz="8" w:space="0" w:color="FFFFFF"/>
              <w:right w:val="single" w:sz="8" w:space="0" w:color="FFFFFF"/>
            </w:tcBorders>
            <w:shd w:val="clear" w:color="auto" w:fill="0F4761" w:themeFill="accent1" w:themeFillShade="BF"/>
            <w:tcMar>
              <w:top w:w="15" w:type="dxa"/>
              <w:left w:w="70" w:type="dxa"/>
              <w:bottom w:w="0" w:type="dxa"/>
              <w:right w:w="70" w:type="dxa"/>
            </w:tcMar>
            <w:vAlign w:val="bottom"/>
            <w:hideMark/>
          </w:tcPr>
          <w:p w14:paraId="1C2E2510" w14:textId="77777777" w:rsidR="00225340" w:rsidRPr="0034467E" w:rsidRDefault="00225340" w:rsidP="0034467E">
            <w:pPr>
              <w:rPr>
                <w:b/>
                <w:bCs/>
                <w:color w:val="FFFFFF" w:themeColor="background1"/>
              </w:rPr>
            </w:pPr>
            <w:r w:rsidRPr="0034467E">
              <w:rPr>
                <w:b/>
                <w:bCs/>
                <w:color w:val="FFFFFF" w:themeColor="background1"/>
              </w:rPr>
              <w:t>Recettes d'investissement</w:t>
            </w:r>
          </w:p>
        </w:tc>
      </w:tr>
      <w:tr w:rsidR="00225340" w:rsidRPr="0034467E" w14:paraId="7A33082D" w14:textId="77777777" w:rsidTr="00EC3309">
        <w:trPr>
          <w:trHeight w:val="1099"/>
        </w:trPr>
        <w:tc>
          <w:tcPr>
            <w:tcW w:w="3450" w:type="dxa"/>
            <w:tcBorders>
              <w:top w:val="single" w:sz="8" w:space="0" w:color="FFFFFF"/>
              <w:left w:val="single" w:sz="8" w:space="0" w:color="FFFFFF"/>
              <w:bottom w:val="single" w:sz="8" w:space="0" w:color="FFFFFF"/>
              <w:right w:val="single" w:sz="8" w:space="0" w:color="FFFFFF"/>
            </w:tcBorders>
            <w:shd w:val="clear" w:color="auto" w:fill="156082"/>
            <w:tcMar>
              <w:top w:w="15" w:type="dxa"/>
              <w:left w:w="70" w:type="dxa"/>
              <w:bottom w:w="0" w:type="dxa"/>
              <w:right w:w="70" w:type="dxa"/>
            </w:tcMar>
            <w:vAlign w:val="bottom"/>
            <w:hideMark/>
          </w:tcPr>
          <w:p w14:paraId="79B66BF9" w14:textId="77777777" w:rsidR="00225340" w:rsidRPr="0034467E" w:rsidRDefault="00225340" w:rsidP="0034467E">
            <w:r w:rsidRPr="0034467E">
              <w:rPr>
                <w:b/>
                <w:bCs/>
              </w:rPr>
              <w:t>040/13911 - subventions d'investissement rattachées aux actifs amortissables - Etat</w:t>
            </w:r>
          </w:p>
        </w:tc>
        <w:tc>
          <w:tcPr>
            <w:tcW w:w="1772" w:type="dxa"/>
            <w:tcBorders>
              <w:top w:val="single" w:sz="8" w:space="0" w:color="FFFFFF"/>
              <w:left w:val="single" w:sz="8" w:space="0" w:color="FFFFFF"/>
              <w:bottom w:val="single" w:sz="8" w:space="0" w:color="FFFFFF"/>
              <w:right w:val="single" w:sz="8" w:space="0" w:color="FFFFFF"/>
            </w:tcBorders>
            <w:shd w:val="clear" w:color="auto" w:fill="E7EAED"/>
            <w:tcMar>
              <w:top w:w="15" w:type="dxa"/>
              <w:left w:w="70" w:type="dxa"/>
              <w:bottom w:w="0" w:type="dxa"/>
              <w:right w:w="70" w:type="dxa"/>
            </w:tcMar>
            <w:vAlign w:val="center"/>
            <w:hideMark/>
          </w:tcPr>
          <w:p w14:paraId="6659362D" w14:textId="77777777" w:rsidR="00225340" w:rsidRPr="0034467E" w:rsidRDefault="00225340" w:rsidP="0034467E">
            <w:r w:rsidRPr="0034467E">
              <w:t>+11 279 €</w:t>
            </w:r>
          </w:p>
        </w:tc>
        <w:tc>
          <w:tcPr>
            <w:tcW w:w="2697" w:type="dxa"/>
            <w:tcBorders>
              <w:top w:val="single" w:sz="8" w:space="0" w:color="FFFFFF"/>
              <w:left w:val="single" w:sz="8" w:space="0" w:color="FFFFFF"/>
              <w:bottom w:val="single" w:sz="8" w:space="0" w:color="FFFFFF"/>
              <w:right w:val="single" w:sz="8" w:space="0" w:color="FFFFFF"/>
            </w:tcBorders>
            <w:shd w:val="clear" w:color="auto" w:fill="E7EAED"/>
            <w:tcMar>
              <w:top w:w="15" w:type="dxa"/>
              <w:left w:w="70" w:type="dxa"/>
              <w:bottom w:w="0" w:type="dxa"/>
              <w:right w:w="70" w:type="dxa"/>
            </w:tcMar>
            <w:vAlign w:val="center"/>
            <w:hideMark/>
          </w:tcPr>
          <w:p w14:paraId="601579CB" w14:textId="77777777" w:rsidR="00225340" w:rsidRPr="0034467E" w:rsidRDefault="00225340" w:rsidP="0034467E">
            <w:r w:rsidRPr="0034467E">
              <w:t>021 - Virement de la section de fonctionnement</w:t>
            </w:r>
          </w:p>
        </w:tc>
        <w:tc>
          <w:tcPr>
            <w:tcW w:w="2018" w:type="dxa"/>
            <w:tcBorders>
              <w:top w:val="single" w:sz="8" w:space="0" w:color="FFFFFF"/>
              <w:left w:val="single" w:sz="8" w:space="0" w:color="FFFFFF"/>
              <w:bottom w:val="single" w:sz="8" w:space="0" w:color="FFFFFF"/>
              <w:right w:val="single" w:sz="8" w:space="0" w:color="FFFFFF"/>
            </w:tcBorders>
            <w:shd w:val="clear" w:color="auto" w:fill="E7EAED"/>
            <w:tcMar>
              <w:top w:w="15" w:type="dxa"/>
              <w:left w:w="70" w:type="dxa"/>
              <w:bottom w:w="0" w:type="dxa"/>
              <w:right w:w="70" w:type="dxa"/>
            </w:tcMar>
            <w:vAlign w:val="center"/>
            <w:hideMark/>
          </w:tcPr>
          <w:p w14:paraId="32EE4753" w14:textId="77777777" w:rsidR="00225340" w:rsidRPr="0034467E" w:rsidRDefault="00225340" w:rsidP="0034467E">
            <w:pPr>
              <w:rPr>
                <w:b/>
                <w:bCs/>
              </w:rPr>
            </w:pPr>
            <w:r w:rsidRPr="0034467E">
              <w:rPr>
                <w:b/>
                <w:bCs/>
              </w:rPr>
              <w:t>+16 814.29 €</w:t>
            </w:r>
          </w:p>
        </w:tc>
      </w:tr>
      <w:tr w:rsidR="00225340" w:rsidRPr="0034467E" w14:paraId="1825C5CB" w14:textId="77777777" w:rsidTr="00EC3309">
        <w:trPr>
          <w:trHeight w:val="1546"/>
        </w:trPr>
        <w:tc>
          <w:tcPr>
            <w:tcW w:w="3450" w:type="dxa"/>
            <w:tcBorders>
              <w:top w:val="single" w:sz="8" w:space="0" w:color="FFFFFF"/>
              <w:left w:val="single" w:sz="8" w:space="0" w:color="FFFFFF"/>
              <w:bottom w:val="single" w:sz="8" w:space="0" w:color="FFFFFF"/>
              <w:right w:val="single" w:sz="8" w:space="0" w:color="FFFFFF"/>
            </w:tcBorders>
            <w:shd w:val="clear" w:color="auto" w:fill="156082"/>
            <w:tcMar>
              <w:top w:w="15" w:type="dxa"/>
              <w:left w:w="70" w:type="dxa"/>
              <w:bottom w:w="0" w:type="dxa"/>
              <w:right w:w="70" w:type="dxa"/>
            </w:tcMar>
            <w:vAlign w:val="bottom"/>
            <w:hideMark/>
          </w:tcPr>
          <w:p w14:paraId="12CD9C10" w14:textId="77777777" w:rsidR="00225340" w:rsidRPr="0034467E" w:rsidRDefault="00225340" w:rsidP="0034467E">
            <w:r w:rsidRPr="0034467E">
              <w:rPr>
                <w:b/>
                <w:bCs/>
              </w:rPr>
              <w:t>040/13913 - subventions d'investissement rattachées aux actifs amortissables - Département</w:t>
            </w:r>
          </w:p>
        </w:tc>
        <w:tc>
          <w:tcPr>
            <w:tcW w:w="1772" w:type="dxa"/>
            <w:tcBorders>
              <w:top w:val="single" w:sz="8" w:space="0" w:color="FFFFFF"/>
              <w:left w:val="single" w:sz="8" w:space="0" w:color="FFFFFF"/>
              <w:bottom w:val="single" w:sz="8" w:space="0" w:color="FFFFFF"/>
              <w:right w:val="single" w:sz="8" w:space="0" w:color="FFFFFF"/>
            </w:tcBorders>
            <w:shd w:val="clear" w:color="auto" w:fill="CCD2D8"/>
            <w:tcMar>
              <w:top w:w="15" w:type="dxa"/>
              <w:left w:w="70" w:type="dxa"/>
              <w:bottom w:w="0" w:type="dxa"/>
              <w:right w:w="70" w:type="dxa"/>
            </w:tcMar>
            <w:vAlign w:val="center"/>
            <w:hideMark/>
          </w:tcPr>
          <w:p w14:paraId="74E8D312" w14:textId="77777777" w:rsidR="00225340" w:rsidRPr="0034467E" w:rsidRDefault="00225340" w:rsidP="0034467E">
            <w:r w:rsidRPr="0034467E">
              <w:t>+1 667 €</w:t>
            </w:r>
          </w:p>
        </w:tc>
        <w:tc>
          <w:tcPr>
            <w:tcW w:w="2697" w:type="dxa"/>
            <w:tcBorders>
              <w:top w:val="single" w:sz="8" w:space="0" w:color="FFFFFF"/>
              <w:left w:val="single" w:sz="8" w:space="0" w:color="FFFFFF"/>
              <w:bottom w:val="single" w:sz="8" w:space="0" w:color="FFFFFF"/>
              <w:right w:val="single" w:sz="8" w:space="0" w:color="FFFFFF"/>
            </w:tcBorders>
            <w:shd w:val="clear" w:color="auto" w:fill="CCD2D8"/>
            <w:tcMar>
              <w:top w:w="15" w:type="dxa"/>
              <w:left w:w="70" w:type="dxa"/>
              <w:bottom w:w="0" w:type="dxa"/>
              <w:right w:w="70" w:type="dxa"/>
            </w:tcMar>
            <w:vAlign w:val="bottom"/>
            <w:hideMark/>
          </w:tcPr>
          <w:p w14:paraId="61113201" w14:textId="77777777" w:rsidR="00225340" w:rsidRPr="0034467E" w:rsidRDefault="00225340" w:rsidP="0034467E"/>
        </w:tc>
        <w:tc>
          <w:tcPr>
            <w:tcW w:w="2018" w:type="dxa"/>
            <w:tcBorders>
              <w:top w:val="single" w:sz="8" w:space="0" w:color="FFFFFF"/>
              <w:left w:val="single" w:sz="8" w:space="0" w:color="FFFFFF"/>
              <w:bottom w:val="single" w:sz="8" w:space="0" w:color="FFFFFF"/>
              <w:right w:val="single" w:sz="8" w:space="0" w:color="FFFFFF"/>
            </w:tcBorders>
            <w:shd w:val="clear" w:color="auto" w:fill="CCD2D8"/>
            <w:tcMar>
              <w:top w:w="15" w:type="dxa"/>
              <w:left w:w="70" w:type="dxa"/>
              <w:bottom w:w="0" w:type="dxa"/>
              <w:right w:w="70" w:type="dxa"/>
            </w:tcMar>
            <w:vAlign w:val="bottom"/>
            <w:hideMark/>
          </w:tcPr>
          <w:p w14:paraId="6BB84B18" w14:textId="77777777" w:rsidR="00225340" w:rsidRPr="0034467E" w:rsidRDefault="00225340" w:rsidP="0034467E"/>
        </w:tc>
      </w:tr>
      <w:tr w:rsidR="00225340" w:rsidRPr="0034467E" w14:paraId="7AA3C06B" w14:textId="77777777" w:rsidTr="00EC3309">
        <w:trPr>
          <w:trHeight w:val="52"/>
        </w:trPr>
        <w:tc>
          <w:tcPr>
            <w:tcW w:w="3450" w:type="dxa"/>
            <w:tcBorders>
              <w:top w:val="single" w:sz="8" w:space="0" w:color="FFFFFF"/>
              <w:left w:val="single" w:sz="8" w:space="0" w:color="FFFFFF"/>
              <w:bottom w:val="single" w:sz="8" w:space="0" w:color="FFFFFF"/>
              <w:right w:val="single" w:sz="8" w:space="0" w:color="FFFFFF"/>
            </w:tcBorders>
            <w:shd w:val="clear" w:color="auto" w:fill="156082"/>
            <w:tcMar>
              <w:top w:w="15" w:type="dxa"/>
              <w:left w:w="70" w:type="dxa"/>
              <w:bottom w:w="0" w:type="dxa"/>
              <w:right w:w="70" w:type="dxa"/>
            </w:tcMar>
            <w:vAlign w:val="bottom"/>
            <w:hideMark/>
          </w:tcPr>
          <w:p w14:paraId="3ABA3A38" w14:textId="051BE9A7" w:rsidR="00225340" w:rsidRPr="0034467E" w:rsidRDefault="00225340" w:rsidP="0034467E">
            <w:r w:rsidRPr="0034467E">
              <w:rPr>
                <w:b/>
                <w:bCs/>
              </w:rPr>
              <w:t xml:space="preserve">040/13916 - subventions d'investissement rattachées aux actifs amortissables - Autres </w:t>
            </w:r>
            <w:proofErr w:type="spellStart"/>
            <w:r w:rsidRPr="0034467E">
              <w:rPr>
                <w:b/>
                <w:bCs/>
              </w:rPr>
              <w:t>étab</w:t>
            </w:r>
            <w:proofErr w:type="spellEnd"/>
            <w:r w:rsidRPr="0034467E">
              <w:rPr>
                <w:b/>
                <w:bCs/>
              </w:rPr>
              <w:t>. Publics</w:t>
            </w:r>
          </w:p>
          <w:p w14:paraId="78118C5B" w14:textId="77777777" w:rsidR="00225340" w:rsidRPr="00EC3309" w:rsidRDefault="00225340" w:rsidP="0034467E">
            <w:pPr>
              <w:rPr>
                <w:b/>
                <w:bCs/>
                <w:color w:val="FFFFFF" w:themeColor="background1"/>
              </w:rPr>
            </w:pPr>
            <w:r w:rsidRPr="0034467E">
              <w:rPr>
                <w:b/>
                <w:bCs/>
                <w:color w:val="FFFFFF" w:themeColor="background1"/>
              </w:rPr>
              <w:t>TOTAL INVESTISSEMENT</w:t>
            </w:r>
          </w:p>
          <w:p w14:paraId="4753C280" w14:textId="77777777" w:rsidR="00225340" w:rsidRPr="0034467E" w:rsidRDefault="00225340" w:rsidP="0034467E"/>
        </w:tc>
        <w:tc>
          <w:tcPr>
            <w:tcW w:w="1772" w:type="dxa"/>
            <w:tcBorders>
              <w:top w:val="single" w:sz="8" w:space="0" w:color="FFFFFF"/>
              <w:left w:val="single" w:sz="8" w:space="0" w:color="FFFFFF"/>
              <w:bottom w:val="single" w:sz="8" w:space="0" w:color="FFFFFF"/>
              <w:right w:val="single" w:sz="8" w:space="0" w:color="FFFFFF"/>
            </w:tcBorders>
            <w:shd w:val="clear" w:color="auto" w:fill="E7EAED"/>
            <w:tcMar>
              <w:top w:w="15" w:type="dxa"/>
              <w:left w:w="70" w:type="dxa"/>
              <w:bottom w:w="0" w:type="dxa"/>
              <w:right w:w="70" w:type="dxa"/>
            </w:tcMar>
            <w:vAlign w:val="center"/>
            <w:hideMark/>
          </w:tcPr>
          <w:p w14:paraId="4AF00087" w14:textId="77777777" w:rsidR="00225340" w:rsidRDefault="00225340" w:rsidP="0034467E">
            <w:r w:rsidRPr="0034467E">
              <w:t>+3 868.29 €</w:t>
            </w:r>
          </w:p>
          <w:p w14:paraId="0D65EDA9" w14:textId="77777777" w:rsidR="00EC3309" w:rsidRPr="0034467E" w:rsidRDefault="00EC3309" w:rsidP="0034467E"/>
          <w:p w14:paraId="79A4D6A1" w14:textId="6B5B45CA" w:rsidR="00225340" w:rsidRPr="0034467E" w:rsidRDefault="00225340" w:rsidP="0034467E">
            <w:pPr>
              <w:rPr>
                <w:b/>
                <w:bCs/>
              </w:rPr>
            </w:pPr>
            <w:r w:rsidRPr="0034467E">
              <w:rPr>
                <w:b/>
                <w:bCs/>
              </w:rPr>
              <w:t> +16 814.29 €</w:t>
            </w:r>
          </w:p>
        </w:tc>
        <w:tc>
          <w:tcPr>
            <w:tcW w:w="2697" w:type="dxa"/>
            <w:tcBorders>
              <w:top w:val="single" w:sz="8" w:space="0" w:color="FFFFFF"/>
              <w:left w:val="single" w:sz="8" w:space="0" w:color="FFFFFF"/>
              <w:bottom w:val="single" w:sz="8" w:space="0" w:color="FFFFFF"/>
              <w:right w:val="single" w:sz="8" w:space="0" w:color="FFFFFF"/>
            </w:tcBorders>
            <w:shd w:val="clear" w:color="auto" w:fill="E7EAED"/>
            <w:tcMar>
              <w:top w:w="15" w:type="dxa"/>
              <w:left w:w="70" w:type="dxa"/>
              <w:bottom w:w="0" w:type="dxa"/>
              <w:right w:w="70" w:type="dxa"/>
            </w:tcMar>
            <w:vAlign w:val="bottom"/>
            <w:hideMark/>
          </w:tcPr>
          <w:p w14:paraId="56ABD69E" w14:textId="77777777" w:rsidR="00225340" w:rsidRPr="0034467E" w:rsidRDefault="00225340" w:rsidP="0034467E"/>
        </w:tc>
        <w:tc>
          <w:tcPr>
            <w:tcW w:w="2018" w:type="dxa"/>
            <w:tcBorders>
              <w:top w:val="single" w:sz="8" w:space="0" w:color="FFFFFF"/>
              <w:left w:val="single" w:sz="8" w:space="0" w:color="FFFFFF"/>
              <w:bottom w:val="single" w:sz="8" w:space="0" w:color="FFFFFF"/>
              <w:right w:val="single" w:sz="8" w:space="0" w:color="FFFFFF"/>
            </w:tcBorders>
            <w:shd w:val="clear" w:color="auto" w:fill="E7EAED"/>
            <w:tcMar>
              <w:top w:w="15" w:type="dxa"/>
              <w:left w:w="70" w:type="dxa"/>
              <w:bottom w:w="0" w:type="dxa"/>
              <w:right w:w="70" w:type="dxa"/>
            </w:tcMar>
            <w:vAlign w:val="bottom"/>
            <w:hideMark/>
          </w:tcPr>
          <w:p w14:paraId="19555B7E" w14:textId="77777777" w:rsidR="00225340" w:rsidRPr="0034467E" w:rsidRDefault="00225340" w:rsidP="0034467E"/>
        </w:tc>
      </w:tr>
    </w:tbl>
    <w:p w14:paraId="30056923" w14:textId="77777777" w:rsidR="000D273D" w:rsidRDefault="000D273D" w:rsidP="00C226DD">
      <w:pPr>
        <w:rPr>
          <w:rFonts w:ascii="Gotham" w:hAnsi="Gotham"/>
        </w:rPr>
      </w:pPr>
    </w:p>
    <w:p w14:paraId="3D4BB413" w14:textId="35985519" w:rsidR="00EA011F" w:rsidRDefault="00EA011F" w:rsidP="00C226DD">
      <w:pPr>
        <w:rPr>
          <w:rFonts w:ascii="Gotham" w:hAnsi="Gotham"/>
        </w:rPr>
      </w:pPr>
      <w:r w:rsidRPr="00A16AA1">
        <w:rPr>
          <w:rFonts w:ascii="Gotham" w:hAnsi="Gotham"/>
        </w:rPr>
        <w:t xml:space="preserve">Votée à l’unanimité </w:t>
      </w:r>
    </w:p>
    <w:p w14:paraId="2A9BDBAA" w14:textId="77777777" w:rsidR="000D273D" w:rsidRDefault="000D273D" w:rsidP="00C226DD">
      <w:pPr>
        <w:rPr>
          <w:rFonts w:ascii="Gotham" w:hAnsi="Gotham"/>
        </w:rPr>
      </w:pPr>
    </w:p>
    <w:p w14:paraId="0F9E59B8" w14:textId="77777777" w:rsidR="000D273D" w:rsidRDefault="000D273D" w:rsidP="00C226DD">
      <w:pPr>
        <w:rPr>
          <w:rFonts w:ascii="Gotham" w:hAnsi="Gotham"/>
        </w:rPr>
      </w:pPr>
    </w:p>
    <w:p w14:paraId="04DF8DB3" w14:textId="77777777" w:rsidR="000D273D" w:rsidRPr="00A16AA1" w:rsidRDefault="000D273D" w:rsidP="00C226DD">
      <w:pPr>
        <w:rPr>
          <w:rFonts w:ascii="Gotham" w:hAnsi="Gotham"/>
        </w:rPr>
      </w:pPr>
    </w:p>
    <w:p w14:paraId="6088E7D3" w14:textId="24BB3778" w:rsidR="00140895" w:rsidRPr="00A16AA1" w:rsidRDefault="00BE6F84" w:rsidP="00C226DD">
      <w:pPr>
        <w:rPr>
          <w:rFonts w:ascii="Gotham" w:hAnsi="Gotham"/>
          <w:b/>
          <w:bCs/>
        </w:rPr>
      </w:pPr>
      <w:r w:rsidRPr="00A16AA1">
        <w:rPr>
          <w:rFonts w:ascii="Gotham" w:hAnsi="Gotham"/>
          <w:b/>
          <w:bCs/>
        </w:rPr>
        <w:lastRenderedPageBreak/>
        <w:t>Admission en non-valeur :</w:t>
      </w:r>
    </w:p>
    <w:p w14:paraId="3C552086" w14:textId="77777777" w:rsidR="00BE6F84" w:rsidRPr="00BE6F84" w:rsidRDefault="00BE6F84" w:rsidP="00143316">
      <w:pPr>
        <w:jc w:val="both"/>
        <w:rPr>
          <w:rFonts w:ascii="Gotham" w:hAnsi="Gotham"/>
        </w:rPr>
      </w:pPr>
      <w:r w:rsidRPr="00BE6F84">
        <w:rPr>
          <w:rFonts w:ascii="Gotham" w:hAnsi="Gotham"/>
        </w:rPr>
        <w:t xml:space="preserve">Le Président propose d’admettre en non-valeur des factures de crèche-garderie pour un montant de 7.22 </w:t>
      </w:r>
      <w:r w:rsidRPr="00BE6F84">
        <w:rPr>
          <w:rFonts w:ascii="Times New Roman" w:hAnsi="Times New Roman" w:cs="Times New Roman"/>
        </w:rPr>
        <w:t>€</w:t>
      </w:r>
      <w:r w:rsidRPr="00BE6F84">
        <w:rPr>
          <w:rFonts w:ascii="Gotham" w:hAnsi="Gotham"/>
        </w:rPr>
        <w:t xml:space="preserve">, </w:t>
      </w:r>
      <w:r w:rsidRPr="00BE6F84">
        <w:rPr>
          <w:rFonts w:ascii="Gotham" w:hAnsi="Gotham" w:cs="Gotham"/>
        </w:rPr>
        <w:t>à</w:t>
      </w:r>
      <w:r w:rsidRPr="00BE6F84">
        <w:rPr>
          <w:rFonts w:ascii="Gotham" w:hAnsi="Gotham"/>
        </w:rPr>
        <w:t xml:space="preserve"> l</w:t>
      </w:r>
      <w:r w:rsidRPr="00BE6F84">
        <w:rPr>
          <w:rFonts w:ascii="Gotham" w:hAnsi="Gotham" w:cs="Gotham"/>
        </w:rPr>
        <w:t>’</w:t>
      </w:r>
      <w:r w:rsidRPr="00BE6F84">
        <w:rPr>
          <w:rFonts w:ascii="Gotham" w:hAnsi="Gotham"/>
        </w:rPr>
        <w:t>appui de l</w:t>
      </w:r>
      <w:r w:rsidRPr="00BE6F84">
        <w:rPr>
          <w:rFonts w:ascii="Gotham" w:hAnsi="Gotham" w:cs="Gotham"/>
        </w:rPr>
        <w:t>’é</w:t>
      </w:r>
      <w:r w:rsidRPr="00BE6F84">
        <w:rPr>
          <w:rFonts w:ascii="Gotham" w:hAnsi="Gotham"/>
        </w:rPr>
        <w:t>tat de pr</w:t>
      </w:r>
      <w:r w:rsidRPr="00BE6F84">
        <w:rPr>
          <w:rFonts w:ascii="Gotham" w:hAnsi="Gotham" w:cs="Gotham"/>
        </w:rPr>
        <w:t>é</w:t>
      </w:r>
      <w:r w:rsidRPr="00BE6F84">
        <w:rPr>
          <w:rFonts w:ascii="Gotham" w:hAnsi="Gotham"/>
        </w:rPr>
        <w:t>sentation et admission en non-valeur n</w:t>
      </w:r>
      <w:r w:rsidRPr="00BE6F84">
        <w:rPr>
          <w:rFonts w:ascii="Gotham" w:hAnsi="Gotham" w:cs="Gotham"/>
        </w:rPr>
        <w:t>°</w:t>
      </w:r>
      <w:r w:rsidRPr="00BE6F84">
        <w:rPr>
          <w:rFonts w:ascii="Gotham" w:hAnsi="Gotham"/>
        </w:rPr>
        <w:t xml:space="preserve"> </w:t>
      </w:r>
      <w:r w:rsidRPr="00BE6F84">
        <w:rPr>
          <w:rFonts w:ascii="Gotham" w:hAnsi="Gotham"/>
          <w:b/>
          <w:bCs/>
        </w:rPr>
        <w:t>7003322015,</w:t>
      </w:r>
      <w:r w:rsidRPr="00BE6F84">
        <w:rPr>
          <w:rFonts w:ascii="Gotham" w:hAnsi="Gotham"/>
        </w:rPr>
        <w:t xml:space="preserve"> reçu de la trésorerie d’Aix les Bains le 2 janvier 2025 dernier.</w:t>
      </w:r>
    </w:p>
    <w:p w14:paraId="2B6D4103" w14:textId="7720A041" w:rsidR="00C226DD" w:rsidRPr="00A16AA1" w:rsidRDefault="00243EDE" w:rsidP="00BE6F84">
      <w:pPr>
        <w:rPr>
          <w:rFonts w:ascii="Gotham" w:hAnsi="Gotham"/>
        </w:rPr>
      </w:pPr>
      <w:r w:rsidRPr="00A16AA1">
        <w:rPr>
          <w:rFonts w:ascii="Gotham" w:hAnsi="Gotham"/>
        </w:rPr>
        <w:t>Votée à l’unanimité</w:t>
      </w:r>
    </w:p>
    <w:p w14:paraId="4D189C44" w14:textId="77777777" w:rsidR="00243EDE" w:rsidRPr="00A16AA1" w:rsidRDefault="00243EDE" w:rsidP="00BE6F84">
      <w:pPr>
        <w:rPr>
          <w:rFonts w:ascii="Gotham" w:hAnsi="Gotham"/>
        </w:rPr>
      </w:pPr>
    </w:p>
    <w:p w14:paraId="482BB989" w14:textId="443B51AC" w:rsidR="00243EDE" w:rsidRPr="00A16AA1" w:rsidRDefault="00243EDE" w:rsidP="00BE6F84">
      <w:pPr>
        <w:rPr>
          <w:rFonts w:ascii="Gotham" w:hAnsi="Gotham"/>
          <w:b/>
          <w:bCs/>
        </w:rPr>
      </w:pPr>
      <w:r w:rsidRPr="00A16AA1">
        <w:rPr>
          <w:rFonts w:ascii="Gotham" w:hAnsi="Gotham"/>
          <w:b/>
          <w:bCs/>
        </w:rPr>
        <w:t>Jeu de cour installé à Serrières en Chautagne :</w:t>
      </w:r>
    </w:p>
    <w:p w14:paraId="7673F431" w14:textId="77777777" w:rsidR="00243EDE" w:rsidRPr="00243EDE" w:rsidRDefault="00243EDE" w:rsidP="00143316">
      <w:pPr>
        <w:spacing w:line="240" w:lineRule="auto"/>
        <w:jc w:val="both"/>
        <w:rPr>
          <w:rFonts w:ascii="Gotham" w:hAnsi="Gotham"/>
        </w:rPr>
      </w:pPr>
      <w:r w:rsidRPr="00243EDE">
        <w:rPr>
          <w:rFonts w:ascii="Gotham" w:hAnsi="Gotham"/>
        </w:rPr>
        <w:t>Le SIVSC, dans le cadre de sa compétence scolaire a financé l’installation d’un jeu de cours dans l’école maternelle de Serrières (RPI Motz, Ruffieux Serrières)</w:t>
      </w:r>
    </w:p>
    <w:p w14:paraId="596BFB7A" w14:textId="77777777" w:rsidR="00243EDE" w:rsidRPr="00243EDE" w:rsidRDefault="00243EDE" w:rsidP="00143316">
      <w:pPr>
        <w:spacing w:line="240" w:lineRule="auto"/>
        <w:jc w:val="both"/>
        <w:rPr>
          <w:rFonts w:ascii="Gotham" w:hAnsi="Gotham"/>
        </w:rPr>
      </w:pPr>
      <w:r w:rsidRPr="00243EDE">
        <w:rPr>
          <w:rFonts w:ascii="Gotham" w:hAnsi="Gotham"/>
        </w:rPr>
        <w:t>La répartition initiale, prévue entre MOTZ et le SIVSC n’est pas possible du fait de l’incapacité de la société KOMPAN à nous fournir une facturation adaptée sur les deux collectivités.</w:t>
      </w:r>
    </w:p>
    <w:p w14:paraId="1E9B64F1" w14:textId="77777777" w:rsidR="00243EDE" w:rsidRPr="00243EDE" w:rsidRDefault="00243EDE" w:rsidP="00143316">
      <w:pPr>
        <w:spacing w:line="240" w:lineRule="auto"/>
        <w:jc w:val="both"/>
        <w:rPr>
          <w:rFonts w:ascii="Gotham" w:hAnsi="Gotham"/>
        </w:rPr>
      </w:pPr>
      <w:r w:rsidRPr="00243EDE">
        <w:rPr>
          <w:rFonts w:ascii="Gotham" w:hAnsi="Gotham"/>
          <w:b/>
          <w:bCs/>
        </w:rPr>
        <w:t>Le montant de la fourniture et de l’installation de ce jeu s’élève à 28.602,47</w:t>
      </w:r>
      <w:r w:rsidRPr="00243EDE">
        <w:rPr>
          <w:rFonts w:ascii="Times New Roman" w:hAnsi="Times New Roman" w:cs="Times New Roman"/>
          <w:b/>
          <w:bCs/>
        </w:rPr>
        <w:t>€</w:t>
      </w:r>
      <w:r w:rsidRPr="00243EDE">
        <w:rPr>
          <w:rFonts w:ascii="Gotham" w:hAnsi="Gotham"/>
          <w:b/>
          <w:bCs/>
        </w:rPr>
        <w:t xml:space="preserve"> TTC.</w:t>
      </w:r>
    </w:p>
    <w:p w14:paraId="1BE6BE34" w14:textId="629539B8" w:rsidR="00243EDE" w:rsidRPr="00243EDE" w:rsidRDefault="00243EDE" w:rsidP="00143316">
      <w:pPr>
        <w:spacing w:line="240" w:lineRule="auto"/>
        <w:jc w:val="both"/>
        <w:rPr>
          <w:rFonts w:ascii="Gotham" w:hAnsi="Gotham"/>
          <w:b/>
          <w:bCs/>
        </w:rPr>
      </w:pPr>
      <w:r w:rsidRPr="00243EDE">
        <w:rPr>
          <w:rFonts w:ascii="Gotham" w:hAnsi="Gotham"/>
          <w:b/>
          <w:bCs/>
        </w:rPr>
        <w:t xml:space="preserve">Prise en charge par la commune de MOTZ sera de 9 154.07 </w:t>
      </w:r>
      <w:r w:rsidRPr="00243EDE">
        <w:rPr>
          <w:rFonts w:ascii="Times New Roman" w:hAnsi="Times New Roman" w:cs="Times New Roman"/>
          <w:b/>
          <w:bCs/>
        </w:rPr>
        <w:t>€</w:t>
      </w:r>
      <w:r w:rsidRPr="00243EDE">
        <w:rPr>
          <w:rFonts w:ascii="Gotham" w:hAnsi="Gotham"/>
          <w:b/>
          <w:bCs/>
        </w:rPr>
        <w:t xml:space="preserve"> correspondant aux services d’installation du jeu.</w:t>
      </w:r>
    </w:p>
    <w:p w14:paraId="7E1B8EEE" w14:textId="77777777" w:rsidR="00243EDE" w:rsidRPr="00243EDE" w:rsidRDefault="00243EDE" w:rsidP="00143316">
      <w:pPr>
        <w:spacing w:line="240" w:lineRule="auto"/>
        <w:jc w:val="both"/>
        <w:rPr>
          <w:rFonts w:ascii="Gotham" w:hAnsi="Gotham"/>
          <w:b/>
          <w:bCs/>
        </w:rPr>
      </w:pPr>
      <w:r w:rsidRPr="00243EDE">
        <w:rPr>
          <w:rFonts w:ascii="Gotham" w:hAnsi="Gotham"/>
          <w:b/>
          <w:bCs/>
        </w:rPr>
        <w:t xml:space="preserve">Prise en charge par le SIVSC : de 19 448.40 </w:t>
      </w:r>
      <w:r w:rsidRPr="00243EDE">
        <w:rPr>
          <w:rFonts w:ascii="Times New Roman" w:hAnsi="Times New Roman" w:cs="Times New Roman"/>
          <w:b/>
          <w:bCs/>
        </w:rPr>
        <w:t>€</w:t>
      </w:r>
      <w:r w:rsidRPr="00243EDE">
        <w:rPr>
          <w:rFonts w:ascii="Gotham" w:hAnsi="Gotham"/>
          <w:b/>
          <w:bCs/>
        </w:rPr>
        <w:t xml:space="preserve"> correspondant </w:t>
      </w:r>
      <w:r w:rsidRPr="00243EDE">
        <w:rPr>
          <w:rFonts w:ascii="Gotham" w:hAnsi="Gotham" w:cs="Gotham"/>
          <w:b/>
          <w:bCs/>
        </w:rPr>
        <w:t>à</w:t>
      </w:r>
      <w:r w:rsidRPr="00243EDE">
        <w:rPr>
          <w:rFonts w:ascii="Gotham" w:hAnsi="Gotham"/>
          <w:b/>
          <w:bCs/>
        </w:rPr>
        <w:t xml:space="preserve"> l</w:t>
      </w:r>
      <w:r w:rsidRPr="00243EDE">
        <w:rPr>
          <w:rFonts w:ascii="Gotham" w:hAnsi="Gotham" w:cs="Gotham"/>
          <w:b/>
          <w:bCs/>
        </w:rPr>
        <w:t>’</w:t>
      </w:r>
      <w:r w:rsidRPr="00243EDE">
        <w:rPr>
          <w:rFonts w:ascii="Gotham" w:hAnsi="Gotham"/>
          <w:b/>
          <w:bCs/>
        </w:rPr>
        <w:t>achat du jeu.</w:t>
      </w:r>
    </w:p>
    <w:p w14:paraId="7EA8CD2F" w14:textId="0FBA275C" w:rsidR="00243EDE" w:rsidRPr="00A16AA1" w:rsidRDefault="00EA011F" w:rsidP="00BE6F84">
      <w:pPr>
        <w:rPr>
          <w:rFonts w:ascii="Gotham" w:hAnsi="Gotham"/>
        </w:rPr>
      </w:pPr>
      <w:r w:rsidRPr="00A16AA1">
        <w:rPr>
          <w:rFonts w:ascii="Gotham" w:hAnsi="Gotham"/>
        </w:rPr>
        <w:t>Votée à l’unanimité</w:t>
      </w:r>
    </w:p>
    <w:p w14:paraId="42581DAB" w14:textId="77777777" w:rsidR="00EA011F" w:rsidRPr="00A16AA1" w:rsidRDefault="00EA011F" w:rsidP="00BE6F84">
      <w:pPr>
        <w:rPr>
          <w:rFonts w:ascii="Gotham" w:hAnsi="Gotham"/>
        </w:rPr>
      </w:pPr>
    </w:p>
    <w:p w14:paraId="74C23428" w14:textId="4E255579" w:rsidR="00EA011F" w:rsidRPr="00A743A3" w:rsidRDefault="00B346ED" w:rsidP="00BE6F84">
      <w:pPr>
        <w:rPr>
          <w:rFonts w:ascii="Gotham" w:hAnsi="Gotham"/>
          <w:b/>
          <w:bCs/>
          <w:u w:val="single"/>
        </w:rPr>
      </w:pPr>
      <w:r w:rsidRPr="00A743A3">
        <w:rPr>
          <w:rFonts w:ascii="Gotham" w:hAnsi="Gotham"/>
          <w:b/>
          <w:bCs/>
          <w:u w:val="single"/>
        </w:rPr>
        <w:t>Centre de Loisirs</w:t>
      </w:r>
      <w:r w:rsidR="00A16AA1" w:rsidRPr="00A743A3">
        <w:rPr>
          <w:rFonts w:ascii="Gotham" w:hAnsi="Gotham"/>
          <w:b/>
          <w:bCs/>
          <w:u w:val="single"/>
        </w:rPr>
        <w:t> :</w:t>
      </w:r>
    </w:p>
    <w:p w14:paraId="778A2E05" w14:textId="3C43B020" w:rsidR="00B346ED" w:rsidRPr="00A16AA1" w:rsidRDefault="00B346ED" w:rsidP="00143316">
      <w:pPr>
        <w:jc w:val="both"/>
        <w:rPr>
          <w:rFonts w:ascii="Gotham" w:hAnsi="Gotham"/>
        </w:rPr>
      </w:pPr>
      <w:r w:rsidRPr="00A16AA1">
        <w:rPr>
          <w:rFonts w:ascii="Gotham" w:hAnsi="Gotham"/>
        </w:rPr>
        <w:t>Tarification des services d’accueil au Centre de Loisirs</w:t>
      </w:r>
    </w:p>
    <w:p w14:paraId="27E455DF" w14:textId="59C257F0" w:rsidR="00B346ED" w:rsidRPr="00A16AA1" w:rsidRDefault="000D6EA2" w:rsidP="00143316">
      <w:pPr>
        <w:jc w:val="both"/>
        <w:rPr>
          <w:rFonts w:ascii="Gotham" w:hAnsi="Gotham"/>
        </w:rPr>
      </w:pPr>
      <w:r w:rsidRPr="00A16AA1">
        <w:rPr>
          <w:rFonts w:ascii="Gotham" w:hAnsi="Gotham"/>
        </w:rPr>
        <w:t xml:space="preserve">Le président explique que les tarifs sont bas et qu’il est nécessaire pour maintenir une qualité d’accueil de revoir cette tarification et les </w:t>
      </w:r>
      <w:r w:rsidR="0017450C" w:rsidRPr="00A16AA1">
        <w:rPr>
          <w:rFonts w:ascii="Gotham" w:hAnsi="Gotham"/>
        </w:rPr>
        <w:t xml:space="preserve">tranches des quotients familiaux utilisés </w:t>
      </w:r>
      <w:proofErr w:type="spellStart"/>
      <w:r w:rsidR="0017450C" w:rsidRPr="00A16AA1">
        <w:rPr>
          <w:rFonts w:ascii="Gotham" w:hAnsi="Gotham"/>
        </w:rPr>
        <w:t>jusque là</w:t>
      </w:r>
      <w:proofErr w:type="spellEnd"/>
      <w:r w:rsidR="0017450C" w:rsidRPr="00A16AA1">
        <w:rPr>
          <w:rFonts w:ascii="Gotham" w:hAnsi="Gotham"/>
        </w:rPr>
        <w:t>.</w:t>
      </w:r>
    </w:p>
    <w:tbl>
      <w:tblPr>
        <w:tblW w:w="9674" w:type="dxa"/>
        <w:tblCellMar>
          <w:left w:w="0" w:type="dxa"/>
          <w:right w:w="0" w:type="dxa"/>
        </w:tblCellMar>
        <w:tblLook w:val="0420" w:firstRow="1" w:lastRow="0" w:firstColumn="0" w:lastColumn="0" w:noHBand="0" w:noVBand="1"/>
      </w:tblPr>
      <w:tblGrid>
        <w:gridCol w:w="1076"/>
        <w:gridCol w:w="2642"/>
        <w:gridCol w:w="2767"/>
        <w:gridCol w:w="3189"/>
      </w:tblGrid>
      <w:tr w:rsidR="00B12856" w:rsidRPr="00B12856" w14:paraId="0218616E" w14:textId="77777777" w:rsidTr="00A743A3">
        <w:trPr>
          <w:trHeight w:val="437"/>
        </w:trPr>
        <w:tc>
          <w:tcPr>
            <w:tcW w:w="1076" w:type="dxa"/>
            <w:tcBorders>
              <w:top w:val="nil"/>
              <w:left w:val="nil"/>
              <w:bottom w:val="nil"/>
              <w:right w:val="nil"/>
            </w:tcBorders>
            <w:shd w:val="clear" w:color="auto" w:fill="E97132"/>
            <w:tcMar>
              <w:top w:w="228" w:type="dxa"/>
              <w:left w:w="19" w:type="dxa"/>
              <w:bottom w:w="0" w:type="dxa"/>
              <w:right w:w="19" w:type="dxa"/>
            </w:tcMar>
            <w:vAlign w:val="center"/>
            <w:hideMark/>
          </w:tcPr>
          <w:p w14:paraId="1A15C624"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proofErr w:type="spellStart"/>
            <w:proofErr w:type="gramStart"/>
            <w:r w:rsidRPr="00B12856">
              <w:rPr>
                <w:rFonts w:ascii="Aptos" w:eastAsia="Times New Roman" w:hAnsi="Aptos" w:cs="Arial"/>
                <w:color w:val="FFFFFF" w:themeColor="background1"/>
                <w:kern w:val="24"/>
                <w:lang w:eastAsia="fr-FR"/>
                <w14:ligatures w14:val="none"/>
              </w:rPr>
              <w:t>qf</w:t>
            </w:r>
            <w:proofErr w:type="spellEnd"/>
            <w:proofErr w:type="gramEnd"/>
          </w:p>
        </w:tc>
        <w:tc>
          <w:tcPr>
            <w:tcW w:w="2642" w:type="dxa"/>
            <w:tcBorders>
              <w:top w:val="nil"/>
              <w:left w:val="nil"/>
              <w:bottom w:val="nil"/>
              <w:right w:val="nil"/>
            </w:tcBorders>
            <w:shd w:val="clear" w:color="auto" w:fill="E97132"/>
            <w:tcMar>
              <w:top w:w="228" w:type="dxa"/>
              <w:left w:w="19" w:type="dxa"/>
              <w:bottom w:w="0" w:type="dxa"/>
              <w:right w:w="19" w:type="dxa"/>
            </w:tcMar>
            <w:vAlign w:val="center"/>
            <w:hideMark/>
          </w:tcPr>
          <w:p w14:paraId="505F0282"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QF</w:t>
            </w:r>
          </w:p>
        </w:tc>
        <w:tc>
          <w:tcPr>
            <w:tcW w:w="2767" w:type="dxa"/>
            <w:tcBorders>
              <w:top w:val="nil"/>
              <w:left w:val="nil"/>
              <w:bottom w:val="nil"/>
              <w:right w:val="nil"/>
            </w:tcBorders>
            <w:shd w:val="clear" w:color="auto" w:fill="E97132"/>
            <w:tcMar>
              <w:top w:w="228" w:type="dxa"/>
              <w:left w:w="19" w:type="dxa"/>
              <w:bottom w:w="0" w:type="dxa"/>
              <w:right w:w="19" w:type="dxa"/>
            </w:tcMar>
            <w:vAlign w:val="center"/>
            <w:hideMark/>
          </w:tcPr>
          <w:p w14:paraId="67F00E3D"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Taux participation familles</w:t>
            </w:r>
          </w:p>
        </w:tc>
        <w:tc>
          <w:tcPr>
            <w:tcW w:w="3189" w:type="dxa"/>
            <w:tcBorders>
              <w:top w:val="nil"/>
              <w:left w:val="nil"/>
              <w:bottom w:val="nil"/>
              <w:right w:val="nil"/>
            </w:tcBorders>
            <w:shd w:val="clear" w:color="auto" w:fill="E97132"/>
            <w:tcMar>
              <w:top w:w="228" w:type="dxa"/>
              <w:left w:w="19" w:type="dxa"/>
              <w:bottom w:w="0" w:type="dxa"/>
              <w:right w:w="19" w:type="dxa"/>
            </w:tcMar>
            <w:vAlign w:val="center"/>
            <w:hideMark/>
          </w:tcPr>
          <w:p w14:paraId="7F5F3244"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Taux participation extérieurs</w:t>
            </w:r>
          </w:p>
        </w:tc>
      </w:tr>
      <w:tr w:rsidR="00B12856" w:rsidRPr="00B12856" w14:paraId="37144FB6" w14:textId="77777777" w:rsidTr="00A743A3">
        <w:trPr>
          <w:trHeight w:val="263"/>
        </w:trPr>
        <w:tc>
          <w:tcPr>
            <w:tcW w:w="1076"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7C5E5CD9"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7</w:t>
            </w:r>
          </w:p>
        </w:tc>
        <w:tc>
          <w:tcPr>
            <w:tcW w:w="2642"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4B1CF143"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2001&lt;QF</w:t>
            </w:r>
          </w:p>
        </w:tc>
        <w:tc>
          <w:tcPr>
            <w:tcW w:w="2767"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30606EA2"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70%</w:t>
            </w:r>
          </w:p>
        </w:tc>
        <w:tc>
          <w:tcPr>
            <w:tcW w:w="3189"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7E8107C7"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95%</w:t>
            </w:r>
          </w:p>
        </w:tc>
      </w:tr>
      <w:tr w:rsidR="00B12856" w:rsidRPr="00B12856" w14:paraId="1852882A" w14:textId="77777777" w:rsidTr="00A743A3">
        <w:trPr>
          <w:trHeight w:val="344"/>
        </w:trPr>
        <w:tc>
          <w:tcPr>
            <w:tcW w:w="1076"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2142BAAF"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6</w:t>
            </w:r>
          </w:p>
        </w:tc>
        <w:tc>
          <w:tcPr>
            <w:tcW w:w="2642"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18007C95"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1501&lt;QF&lt;2000</w:t>
            </w:r>
          </w:p>
        </w:tc>
        <w:tc>
          <w:tcPr>
            <w:tcW w:w="2767"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65B80BA9"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65%</w:t>
            </w:r>
          </w:p>
        </w:tc>
        <w:tc>
          <w:tcPr>
            <w:tcW w:w="3189"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60A440B0"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90%</w:t>
            </w:r>
          </w:p>
        </w:tc>
      </w:tr>
      <w:tr w:rsidR="00B12856" w:rsidRPr="00B12856" w14:paraId="0C19045A" w14:textId="77777777" w:rsidTr="00A743A3">
        <w:trPr>
          <w:trHeight w:val="365"/>
        </w:trPr>
        <w:tc>
          <w:tcPr>
            <w:tcW w:w="1076"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313E8023"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5</w:t>
            </w:r>
          </w:p>
        </w:tc>
        <w:tc>
          <w:tcPr>
            <w:tcW w:w="2642"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45C68021"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1000&lt;QF&lt;1500</w:t>
            </w:r>
          </w:p>
        </w:tc>
        <w:tc>
          <w:tcPr>
            <w:tcW w:w="2767"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6B2E3B6A"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58%</w:t>
            </w:r>
          </w:p>
        </w:tc>
        <w:tc>
          <w:tcPr>
            <w:tcW w:w="3189"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67AA5202"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83%</w:t>
            </w:r>
          </w:p>
        </w:tc>
      </w:tr>
      <w:tr w:rsidR="00B12856" w:rsidRPr="00B12856" w14:paraId="5E20268B" w14:textId="77777777" w:rsidTr="00A743A3">
        <w:trPr>
          <w:trHeight w:val="194"/>
        </w:trPr>
        <w:tc>
          <w:tcPr>
            <w:tcW w:w="1076"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36C89A35"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4</w:t>
            </w:r>
          </w:p>
        </w:tc>
        <w:tc>
          <w:tcPr>
            <w:tcW w:w="2642"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48D0AEDB"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702&lt;QF&lt;1000</w:t>
            </w:r>
          </w:p>
        </w:tc>
        <w:tc>
          <w:tcPr>
            <w:tcW w:w="2767"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08D0EBF7"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40%</w:t>
            </w:r>
          </w:p>
        </w:tc>
        <w:tc>
          <w:tcPr>
            <w:tcW w:w="3189"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51F9257E"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65%</w:t>
            </w:r>
          </w:p>
        </w:tc>
      </w:tr>
      <w:tr w:rsidR="00B12856" w:rsidRPr="00B12856" w14:paraId="694642CD" w14:textId="77777777" w:rsidTr="00A743A3">
        <w:trPr>
          <w:trHeight w:val="352"/>
        </w:trPr>
        <w:tc>
          <w:tcPr>
            <w:tcW w:w="1076"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12737F2F"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3</w:t>
            </w:r>
          </w:p>
        </w:tc>
        <w:tc>
          <w:tcPr>
            <w:tcW w:w="2642"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73E2FBFF"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561&lt;QF&lt;701</w:t>
            </w:r>
          </w:p>
        </w:tc>
        <w:tc>
          <w:tcPr>
            <w:tcW w:w="2767"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65EA623E"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30%</w:t>
            </w:r>
          </w:p>
        </w:tc>
        <w:tc>
          <w:tcPr>
            <w:tcW w:w="3189"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6BC7C10F"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55%</w:t>
            </w:r>
          </w:p>
        </w:tc>
      </w:tr>
      <w:tr w:rsidR="00B12856" w:rsidRPr="00B12856" w14:paraId="5B7DE3A0" w14:textId="77777777" w:rsidTr="00A743A3">
        <w:trPr>
          <w:trHeight w:val="480"/>
        </w:trPr>
        <w:tc>
          <w:tcPr>
            <w:tcW w:w="1076"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477D911B"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2</w:t>
            </w:r>
          </w:p>
        </w:tc>
        <w:tc>
          <w:tcPr>
            <w:tcW w:w="2642"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3734A275"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291&lt;QF&lt;560</w:t>
            </w:r>
          </w:p>
        </w:tc>
        <w:tc>
          <w:tcPr>
            <w:tcW w:w="2767"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794940B0"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20%</w:t>
            </w:r>
          </w:p>
        </w:tc>
        <w:tc>
          <w:tcPr>
            <w:tcW w:w="3189"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0A438625"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45%</w:t>
            </w:r>
          </w:p>
        </w:tc>
      </w:tr>
      <w:tr w:rsidR="00B12856" w:rsidRPr="00B12856" w14:paraId="2C1E762B" w14:textId="77777777" w:rsidTr="00A743A3">
        <w:trPr>
          <w:trHeight w:val="164"/>
        </w:trPr>
        <w:tc>
          <w:tcPr>
            <w:tcW w:w="1076" w:type="dxa"/>
            <w:tcBorders>
              <w:top w:val="nil"/>
              <w:left w:val="nil"/>
              <w:bottom w:val="nil"/>
              <w:right w:val="nil"/>
            </w:tcBorders>
            <w:shd w:val="clear" w:color="auto" w:fill="404040"/>
            <w:tcMar>
              <w:top w:w="228" w:type="dxa"/>
              <w:left w:w="19" w:type="dxa"/>
              <w:bottom w:w="0" w:type="dxa"/>
              <w:right w:w="19" w:type="dxa"/>
            </w:tcMar>
            <w:vAlign w:val="center"/>
            <w:hideMark/>
          </w:tcPr>
          <w:p w14:paraId="07925515"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1</w:t>
            </w:r>
          </w:p>
        </w:tc>
        <w:tc>
          <w:tcPr>
            <w:tcW w:w="2642" w:type="dxa"/>
            <w:tcBorders>
              <w:top w:val="nil"/>
              <w:left w:val="nil"/>
              <w:bottom w:val="nil"/>
              <w:right w:val="nil"/>
            </w:tcBorders>
            <w:shd w:val="clear" w:color="auto" w:fill="404040"/>
            <w:tcMar>
              <w:top w:w="228" w:type="dxa"/>
              <w:left w:w="19" w:type="dxa"/>
              <w:bottom w:w="0" w:type="dxa"/>
              <w:right w:w="19" w:type="dxa"/>
            </w:tcMar>
            <w:vAlign w:val="center"/>
            <w:hideMark/>
          </w:tcPr>
          <w:p w14:paraId="13D6C5F2"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QF&lt;290</w:t>
            </w:r>
          </w:p>
        </w:tc>
        <w:tc>
          <w:tcPr>
            <w:tcW w:w="2767" w:type="dxa"/>
            <w:tcBorders>
              <w:top w:val="nil"/>
              <w:left w:val="nil"/>
              <w:bottom w:val="nil"/>
              <w:right w:val="nil"/>
            </w:tcBorders>
            <w:shd w:val="clear" w:color="auto" w:fill="404040"/>
            <w:tcMar>
              <w:top w:w="228" w:type="dxa"/>
              <w:left w:w="19" w:type="dxa"/>
              <w:bottom w:w="0" w:type="dxa"/>
              <w:right w:w="19" w:type="dxa"/>
            </w:tcMar>
            <w:vAlign w:val="center"/>
            <w:hideMark/>
          </w:tcPr>
          <w:p w14:paraId="31749B0C"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15%</w:t>
            </w:r>
          </w:p>
        </w:tc>
        <w:tc>
          <w:tcPr>
            <w:tcW w:w="3189" w:type="dxa"/>
            <w:tcBorders>
              <w:top w:val="nil"/>
              <w:left w:val="nil"/>
              <w:bottom w:val="nil"/>
              <w:right w:val="nil"/>
            </w:tcBorders>
            <w:shd w:val="clear" w:color="auto" w:fill="404040"/>
            <w:tcMar>
              <w:top w:w="228" w:type="dxa"/>
              <w:left w:w="19" w:type="dxa"/>
              <w:bottom w:w="0" w:type="dxa"/>
              <w:right w:w="19" w:type="dxa"/>
            </w:tcMar>
            <w:vAlign w:val="center"/>
            <w:hideMark/>
          </w:tcPr>
          <w:p w14:paraId="616CF5CC" w14:textId="77777777" w:rsidR="00B12856" w:rsidRPr="00B12856" w:rsidRDefault="00B12856" w:rsidP="00B1285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40%</w:t>
            </w:r>
          </w:p>
        </w:tc>
      </w:tr>
    </w:tbl>
    <w:p w14:paraId="4918B20B" w14:textId="77777777" w:rsidR="0017450C" w:rsidRDefault="0017450C" w:rsidP="0001510E"/>
    <w:p w14:paraId="5A59CF7C" w14:textId="77777777" w:rsidR="00B12856" w:rsidRDefault="00B12856" w:rsidP="0001510E"/>
    <w:p w14:paraId="534964D6" w14:textId="4083D1D4" w:rsidR="00B12856" w:rsidRDefault="00AF4188" w:rsidP="0001510E">
      <w:r w:rsidRPr="00AF4188">
        <w:object w:dxaOrig="17474" w:dyaOrig="1845" w14:anchorId="3645F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25pt;height:92.1pt" o:ole="">
            <v:imagedata r:id="rId9" o:title=""/>
          </v:shape>
          <o:OLEObject Type="Embed" ProgID="Excel.Sheet.12" ShapeID="_x0000_i1025" DrawAspect="Content" ObjectID="_1799738453" r:id="rId10"/>
        </w:object>
      </w:r>
    </w:p>
    <w:p w14:paraId="7EF277BC" w14:textId="674C2954" w:rsidR="007B6996" w:rsidRDefault="007B6996" w:rsidP="0001510E">
      <w:r w:rsidRPr="007B6996">
        <w:rPr>
          <w:noProof/>
        </w:rPr>
        <w:drawing>
          <wp:inline distT="0" distB="0" distL="0" distR="0" wp14:anchorId="6FDA60F7" wp14:editId="485CE71E">
            <wp:extent cx="6634717" cy="2349795"/>
            <wp:effectExtent l="0" t="0" r="13970" b="12700"/>
            <wp:docPr id="1768120836" name="Graphique 1">
              <a:extLst xmlns:a="http://schemas.openxmlformats.org/drawingml/2006/main">
                <a:ext uri="{FF2B5EF4-FFF2-40B4-BE49-F238E27FC236}">
                  <a16:creationId xmlns:a16="http://schemas.microsoft.com/office/drawing/2014/main" id="{DDB67AAD-E731-B2BC-C736-B448E9E00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2E0DB" w14:textId="77777777" w:rsidR="002F67E4" w:rsidRDefault="002F67E4" w:rsidP="0001510E"/>
    <w:p w14:paraId="782E598B" w14:textId="49D313D4" w:rsidR="006475FD" w:rsidRPr="004636AF" w:rsidRDefault="006475FD" w:rsidP="00143316">
      <w:pPr>
        <w:jc w:val="both"/>
        <w:rPr>
          <w:rFonts w:ascii="Gotham" w:hAnsi="Gotham"/>
        </w:rPr>
      </w:pPr>
      <w:r w:rsidRPr="004636AF">
        <w:rPr>
          <w:rFonts w:ascii="Gotham" w:hAnsi="Gotham"/>
        </w:rPr>
        <w:t>Proposition d’une organisation à partir de</w:t>
      </w:r>
      <w:r w:rsidR="0059464D" w:rsidRPr="004636AF">
        <w:rPr>
          <w:rFonts w:ascii="Gotham" w:hAnsi="Gotham"/>
        </w:rPr>
        <w:t xml:space="preserve"> nouvelles tranches des quotients familiaux</w:t>
      </w:r>
      <w:r w:rsidR="002A2E47">
        <w:rPr>
          <w:rFonts w:ascii="Gotham" w:hAnsi="Gotham"/>
        </w:rPr>
        <w:t xml:space="preserve"> qui vise la solidarité et la possibilité pour les familles à faibles revenus d’offrir des temps de loisirs à leurs enfants</w:t>
      </w:r>
      <w:r w:rsidR="004636AF">
        <w:rPr>
          <w:rFonts w:ascii="Gotham" w:hAnsi="Gotham"/>
        </w:rPr>
        <w:t> :</w:t>
      </w:r>
    </w:p>
    <w:tbl>
      <w:tblPr>
        <w:tblW w:w="10011" w:type="dxa"/>
        <w:tblCellMar>
          <w:left w:w="0" w:type="dxa"/>
          <w:right w:w="0" w:type="dxa"/>
        </w:tblCellMar>
        <w:tblLook w:val="0420" w:firstRow="1" w:lastRow="0" w:firstColumn="0" w:lastColumn="0" w:noHBand="0" w:noVBand="1"/>
      </w:tblPr>
      <w:tblGrid>
        <w:gridCol w:w="1114"/>
        <w:gridCol w:w="2734"/>
        <w:gridCol w:w="2863"/>
        <w:gridCol w:w="3300"/>
      </w:tblGrid>
      <w:tr w:rsidR="002F67E4" w:rsidRPr="00B12856" w14:paraId="296D6E19" w14:textId="77777777" w:rsidTr="006475FD">
        <w:trPr>
          <w:trHeight w:val="516"/>
        </w:trPr>
        <w:tc>
          <w:tcPr>
            <w:tcW w:w="1114" w:type="dxa"/>
            <w:tcBorders>
              <w:top w:val="nil"/>
              <w:left w:val="nil"/>
              <w:bottom w:val="nil"/>
              <w:right w:val="nil"/>
            </w:tcBorders>
            <w:shd w:val="clear" w:color="auto" w:fill="E97132"/>
            <w:tcMar>
              <w:top w:w="228" w:type="dxa"/>
              <w:left w:w="19" w:type="dxa"/>
              <w:bottom w:w="0" w:type="dxa"/>
              <w:right w:w="19" w:type="dxa"/>
            </w:tcMar>
            <w:vAlign w:val="center"/>
            <w:hideMark/>
          </w:tcPr>
          <w:p w14:paraId="4ED9FF8B" w14:textId="77777777"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proofErr w:type="spellStart"/>
            <w:proofErr w:type="gramStart"/>
            <w:r w:rsidRPr="00B12856">
              <w:rPr>
                <w:rFonts w:ascii="Aptos" w:eastAsia="Times New Roman" w:hAnsi="Aptos" w:cs="Arial"/>
                <w:color w:val="FFFFFF" w:themeColor="background1"/>
                <w:kern w:val="24"/>
                <w:lang w:eastAsia="fr-FR"/>
                <w14:ligatures w14:val="none"/>
              </w:rPr>
              <w:t>qf</w:t>
            </w:r>
            <w:proofErr w:type="spellEnd"/>
            <w:proofErr w:type="gramEnd"/>
          </w:p>
        </w:tc>
        <w:tc>
          <w:tcPr>
            <w:tcW w:w="2734" w:type="dxa"/>
            <w:tcBorders>
              <w:top w:val="nil"/>
              <w:left w:val="nil"/>
              <w:bottom w:val="nil"/>
              <w:right w:val="nil"/>
            </w:tcBorders>
            <w:shd w:val="clear" w:color="auto" w:fill="E97132"/>
            <w:tcMar>
              <w:top w:w="228" w:type="dxa"/>
              <w:left w:w="19" w:type="dxa"/>
              <w:bottom w:w="0" w:type="dxa"/>
              <w:right w:w="19" w:type="dxa"/>
            </w:tcMar>
            <w:vAlign w:val="center"/>
            <w:hideMark/>
          </w:tcPr>
          <w:p w14:paraId="1C2D6771" w14:textId="77777777"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QF</w:t>
            </w:r>
          </w:p>
        </w:tc>
        <w:tc>
          <w:tcPr>
            <w:tcW w:w="2863" w:type="dxa"/>
            <w:tcBorders>
              <w:top w:val="nil"/>
              <w:left w:val="nil"/>
              <w:bottom w:val="nil"/>
              <w:right w:val="nil"/>
            </w:tcBorders>
            <w:shd w:val="clear" w:color="auto" w:fill="E97132"/>
            <w:tcMar>
              <w:top w:w="228" w:type="dxa"/>
              <w:left w:w="19" w:type="dxa"/>
              <w:bottom w:w="0" w:type="dxa"/>
              <w:right w:w="19" w:type="dxa"/>
            </w:tcMar>
            <w:vAlign w:val="center"/>
            <w:hideMark/>
          </w:tcPr>
          <w:p w14:paraId="14E61BC4" w14:textId="77777777"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Taux participation familles</w:t>
            </w:r>
          </w:p>
        </w:tc>
        <w:tc>
          <w:tcPr>
            <w:tcW w:w="3300" w:type="dxa"/>
            <w:tcBorders>
              <w:top w:val="nil"/>
              <w:left w:val="nil"/>
              <w:bottom w:val="nil"/>
              <w:right w:val="nil"/>
            </w:tcBorders>
            <w:shd w:val="clear" w:color="auto" w:fill="E97132"/>
            <w:tcMar>
              <w:top w:w="228" w:type="dxa"/>
              <w:left w:w="19" w:type="dxa"/>
              <w:bottom w:w="0" w:type="dxa"/>
              <w:right w:w="19" w:type="dxa"/>
            </w:tcMar>
            <w:vAlign w:val="center"/>
            <w:hideMark/>
          </w:tcPr>
          <w:p w14:paraId="5AC3ED24" w14:textId="77777777"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Taux participation extérieurs</w:t>
            </w:r>
          </w:p>
        </w:tc>
      </w:tr>
      <w:tr w:rsidR="002F67E4" w:rsidRPr="00B12856" w14:paraId="28D75531" w14:textId="77777777" w:rsidTr="006475FD">
        <w:trPr>
          <w:trHeight w:val="407"/>
        </w:trPr>
        <w:tc>
          <w:tcPr>
            <w:tcW w:w="1114"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5004BBEA" w14:textId="77777777"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6</w:t>
            </w:r>
          </w:p>
        </w:tc>
        <w:tc>
          <w:tcPr>
            <w:tcW w:w="2734"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60A9D9EC" w14:textId="368EC12A"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QF</w:t>
            </w:r>
            <w:r w:rsidR="008C2853">
              <w:rPr>
                <w:rFonts w:ascii="Aptos" w:eastAsia="Times New Roman" w:hAnsi="Aptos" w:cs="Arial"/>
                <w:color w:val="FFFFFF" w:themeColor="background1"/>
                <w:kern w:val="24"/>
                <w:lang w:eastAsia="fr-FR"/>
                <w14:ligatures w14:val="none"/>
              </w:rPr>
              <w:t xml:space="preserve"> : </w:t>
            </w:r>
            <w:r w:rsidRPr="00B12856">
              <w:rPr>
                <w:rFonts w:ascii="Aptos" w:eastAsia="Times New Roman" w:hAnsi="Aptos" w:cs="Arial"/>
                <w:color w:val="FFFFFF" w:themeColor="background1"/>
                <w:kern w:val="24"/>
                <w:lang w:eastAsia="fr-FR"/>
                <w14:ligatures w14:val="none"/>
              </w:rPr>
              <w:t>2</w:t>
            </w:r>
            <w:r w:rsidR="008C2853">
              <w:rPr>
                <w:rFonts w:ascii="Aptos" w:eastAsia="Times New Roman" w:hAnsi="Aptos" w:cs="Arial"/>
                <w:color w:val="FFFFFF" w:themeColor="background1"/>
                <w:kern w:val="24"/>
                <w:lang w:eastAsia="fr-FR"/>
                <w14:ligatures w14:val="none"/>
              </w:rPr>
              <w:t>4</w:t>
            </w:r>
            <w:r w:rsidRPr="00B12856">
              <w:rPr>
                <w:rFonts w:ascii="Aptos" w:eastAsia="Times New Roman" w:hAnsi="Aptos" w:cs="Arial"/>
                <w:color w:val="FFFFFF" w:themeColor="background1"/>
                <w:kern w:val="24"/>
                <w:lang w:eastAsia="fr-FR"/>
                <w14:ligatures w14:val="none"/>
              </w:rPr>
              <w:t>00</w:t>
            </w:r>
            <w:r w:rsidR="008C2853">
              <w:rPr>
                <w:rFonts w:ascii="Aptos" w:eastAsia="Times New Roman" w:hAnsi="Aptos" w:cs="Arial"/>
                <w:color w:val="FFFFFF" w:themeColor="background1"/>
                <w:kern w:val="24"/>
                <w:lang w:eastAsia="fr-FR"/>
                <w14:ligatures w14:val="none"/>
              </w:rPr>
              <w:t xml:space="preserve"> et +</w:t>
            </w:r>
          </w:p>
        </w:tc>
        <w:tc>
          <w:tcPr>
            <w:tcW w:w="2863"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6F1A0B5F" w14:textId="2F5C85CF" w:rsidR="002F67E4" w:rsidRPr="00B12856" w:rsidRDefault="008C2853"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90</w:t>
            </w:r>
            <w:r w:rsidR="002F67E4" w:rsidRPr="00B12856">
              <w:rPr>
                <w:rFonts w:ascii="Aptos" w:eastAsia="Times New Roman" w:hAnsi="Aptos" w:cs="Arial"/>
                <w:color w:val="FFFFFF" w:themeColor="background1"/>
                <w:kern w:val="24"/>
                <w:lang w:eastAsia="fr-FR"/>
                <w14:ligatures w14:val="none"/>
              </w:rPr>
              <w:t>%</w:t>
            </w:r>
          </w:p>
        </w:tc>
        <w:tc>
          <w:tcPr>
            <w:tcW w:w="3300"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55333724" w14:textId="5FDB9B20" w:rsidR="002F67E4" w:rsidRPr="00B12856" w:rsidRDefault="008C2853"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10</w:t>
            </w:r>
            <w:r w:rsidR="002F67E4" w:rsidRPr="00B12856">
              <w:rPr>
                <w:rFonts w:ascii="Aptos" w:eastAsia="Times New Roman" w:hAnsi="Aptos" w:cs="Arial"/>
                <w:color w:val="FFFFFF" w:themeColor="background1"/>
                <w:kern w:val="24"/>
                <w:lang w:eastAsia="fr-FR"/>
                <w14:ligatures w14:val="none"/>
              </w:rPr>
              <w:t>0%</w:t>
            </w:r>
          </w:p>
        </w:tc>
      </w:tr>
      <w:tr w:rsidR="002F67E4" w:rsidRPr="00B12856" w14:paraId="35464982" w14:textId="77777777" w:rsidTr="006475FD">
        <w:trPr>
          <w:trHeight w:val="431"/>
        </w:trPr>
        <w:tc>
          <w:tcPr>
            <w:tcW w:w="1114"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67EC0EF7" w14:textId="77777777"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5</w:t>
            </w:r>
          </w:p>
        </w:tc>
        <w:tc>
          <w:tcPr>
            <w:tcW w:w="2734"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66071596" w14:textId="67DDAAE6" w:rsidR="002F67E4" w:rsidRPr="00B12856" w:rsidRDefault="00CD0523"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2</w:t>
            </w:r>
            <w:r w:rsidR="002F67E4" w:rsidRPr="00B12856">
              <w:rPr>
                <w:rFonts w:ascii="Aptos" w:eastAsia="Times New Roman" w:hAnsi="Aptos" w:cs="Arial"/>
                <w:color w:val="FFFFFF" w:themeColor="background1"/>
                <w:kern w:val="24"/>
                <w:lang w:eastAsia="fr-FR"/>
                <w14:ligatures w14:val="none"/>
              </w:rPr>
              <w:t>000&lt;QF&lt;</w:t>
            </w:r>
            <w:r>
              <w:rPr>
                <w:rFonts w:ascii="Aptos" w:eastAsia="Times New Roman" w:hAnsi="Aptos" w:cs="Arial"/>
                <w:color w:val="FFFFFF" w:themeColor="background1"/>
                <w:kern w:val="24"/>
                <w:lang w:eastAsia="fr-FR"/>
                <w14:ligatures w14:val="none"/>
              </w:rPr>
              <w:t>24</w:t>
            </w:r>
            <w:r w:rsidR="002F67E4" w:rsidRPr="00B12856">
              <w:rPr>
                <w:rFonts w:ascii="Aptos" w:eastAsia="Times New Roman" w:hAnsi="Aptos" w:cs="Arial"/>
                <w:color w:val="FFFFFF" w:themeColor="background1"/>
                <w:kern w:val="24"/>
                <w:lang w:eastAsia="fr-FR"/>
                <w14:ligatures w14:val="none"/>
              </w:rPr>
              <w:t>00</w:t>
            </w:r>
          </w:p>
        </w:tc>
        <w:tc>
          <w:tcPr>
            <w:tcW w:w="2863"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38D3FEFF" w14:textId="49CD77DE" w:rsidR="002F67E4" w:rsidRPr="00B12856" w:rsidRDefault="00CD0523"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85</w:t>
            </w:r>
            <w:r w:rsidR="002F67E4" w:rsidRPr="00B12856">
              <w:rPr>
                <w:rFonts w:ascii="Aptos" w:eastAsia="Times New Roman" w:hAnsi="Aptos" w:cs="Arial"/>
                <w:color w:val="FFFFFF" w:themeColor="background1"/>
                <w:kern w:val="24"/>
                <w:lang w:eastAsia="fr-FR"/>
                <w14:ligatures w14:val="none"/>
              </w:rPr>
              <w:t>%</w:t>
            </w:r>
          </w:p>
        </w:tc>
        <w:tc>
          <w:tcPr>
            <w:tcW w:w="3300"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37EA5EDE" w14:textId="5F43BAC8" w:rsidR="002F67E4" w:rsidRPr="00B12856" w:rsidRDefault="00CD0523"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95</w:t>
            </w:r>
            <w:r w:rsidR="002F67E4" w:rsidRPr="00B12856">
              <w:rPr>
                <w:rFonts w:ascii="Aptos" w:eastAsia="Times New Roman" w:hAnsi="Aptos" w:cs="Arial"/>
                <w:color w:val="FFFFFF" w:themeColor="background1"/>
                <w:kern w:val="24"/>
                <w:lang w:eastAsia="fr-FR"/>
                <w14:ligatures w14:val="none"/>
              </w:rPr>
              <w:t>%</w:t>
            </w:r>
          </w:p>
        </w:tc>
      </w:tr>
      <w:tr w:rsidR="002F67E4" w:rsidRPr="00B12856" w14:paraId="06718B69" w14:textId="77777777" w:rsidTr="006475FD">
        <w:trPr>
          <w:trHeight w:val="230"/>
        </w:trPr>
        <w:tc>
          <w:tcPr>
            <w:tcW w:w="1114"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647ED86A" w14:textId="77777777"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4</w:t>
            </w:r>
          </w:p>
        </w:tc>
        <w:tc>
          <w:tcPr>
            <w:tcW w:w="2734"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714152B1" w14:textId="0AD18873" w:rsidR="002F67E4" w:rsidRPr="00B12856" w:rsidRDefault="009567F0"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1600</w:t>
            </w:r>
            <w:r w:rsidR="002F67E4" w:rsidRPr="00B12856">
              <w:rPr>
                <w:rFonts w:ascii="Aptos" w:eastAsia="Times New Roman" w:hAnsi="Aptos" w:cs="Arial"/>
                <w:color w:val="FFFFFF" w:themeColor="background1"/>
                <w:kern w:val="24"/>
                <w:lang w:eastAsia="fr-FR"/>
                <w14:ligatures w14:val="none"/>
              </w:rPr>
              <w:t>&lt;QF&lt;</w:t>
            </w:r>
            <w:r>
              <w:rPr>
                <w:rFonts w:ascii="Aptos" w:eastAsia="Times New Roman" w:hAnsi="Aptos" w:cs="Arial"/>
                <w:color w:val="FFFFFF" w:themeColor="background1"/>
                <w:kern w:val="24"/>
                <w:lang w:eastAsia="fr-FR"/>
                <w14:ligatures w14:val="none"/>
              </w:rPr>
              <w:t>2000</w:t>
            </w:r>
          </w:p>
        </w:tc>
        <w:tc>
          <w:tcPr>
            <w:tcW w:w="2863"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720E37A0" w14:textId="7CF5D511" w:rsidR="002F67E4" w:rsidRPr="00B12856" w:rsidRDefault="009567F0"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75</w:t>
            </w:r>
            <w:r w:rsidR="002F67E4" w:rsidRPr="00B12856">
              <w:rPr>
                <w:rFonts w:ascii="Aptos" w:eastAsia="Times New Roman" w:hAnsi="Aptos" w:cs="Arial"/>
                <w:color w:val="FFFFFF" w:themeColor="background1"/>
                <w:kern w:val="24"/>
                <w:lang w:eastAsia="fr-FR"/>
                <w14:ligatures w14:val="none"/>
              </w:rPr>
              <w:t>%</w:t>
            </w:r>
          </w:p>
        </w:tc>
        <w:tc>
          <w:tcPr>
            <w:tcW w:w="3300"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2678E18C" w14:textId="41701AC8" w:rsidR="002F67E4" w:rsidRPr="00B12856" w:rsidRDefault="009567F0"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8</w:t>
            </w:r>
            <w:r w:rsidR="002F67E4" w:rsidRPr="00B12856">
              <w:rPr>
                <w:rFonts w:ascii="Aptos" w:eastAsia="Times New Roman" w:hAnsi="Aptos" w:cs="Arial"/>
                <w:color w:val="FFFFFF" w:themeColor="background1"/>
                <w:kern w:val="24"/>
                <w:lang w:eastAsia="fr-FR"/>
                <w14:ligatures w14:val="none"/>
              </w:rPr>
              <w:t>5%</w:t>
            </w:r>
          </w:p>
        </w:tc>
      </w:tr>
      <w:tr w:rsidR="002F67E4" w:rsidRPr="00B12856" w14:paraId="749B5793" w14:textId="77777777" w:rsidTr="006475FD">
        <w:trPr>
          <w:trHeight w:val="416"/>
        </w:trPr>
        <w:tc>
          <w:tcPr>
            <w:tcW w:w="1114"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4CFDDC90" w14:textId="77777777"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3</w:t>
            </w:r>
          </w:p>
        </w:tc>
        <w:tc>
          <w:tcPr>
            <w:tcW w:w="2734"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42035A9A" w14:textId="15BCC7F1"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1200</w:t>
            </w:r>
            <w:r w:rsidRPr="00B12856">
              <w:rPr>
                <w:rFonts w:ascii="Aptos" w:eastAsia="Times New Roman" w:hAnsi="Aptos" w:cs="Arial"/>
                <w:color w:val="FFFFFF" w:themeColor="background1"/>
                <w:kern w:val="24"/>
                <w:lang w:eastAsia="fr-FR"/>
                <w14:ligatures w14:val="none"/>
              </w:rPr>
              <w:t>&lt;QF&lt;</w:t>
            </w:r>
            <w:r w:rsidR="009567F0">
              <w:rPr>
                <w:rFonts w:ascii="Aptos" w:eastAsia="Times New Roman" w:hAnsi="Aptos" w:cs="Arial"/>
                <w:color w:val="FFFFFF" w:themeColor="background1"/>
                <w:kern w:val="24"/>
                <w:lang w:eastAsia="fr-FR"/>
                <w14:ligatures w14:val="none"/>
              </w:rPr>
              <w:t>1600</w:t>
            </w:r>
          </w:p>
        </w:tc>
        <w:tc>
          <w:tcPr>
            <w:tcW w:w="2863"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15B79B11" w14:textId="0A57A0E5" w:rsidR="002F67E4" w:rsidRPr="00B12856" w:rsidRDefault="009567F0"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65</w:t>
            </w:r>
            <w:r w:rsidR="002F67E4" w:rsidRPr="00B12856">
              <w:rPr>
                <w:rFonts w:ascii="Aptos" w:eastAsia="Times New Roman" w:hAnsi="Aptos" w:cs="Arial"/>
                <w:color w:val="FFFFFF" w:themeColor="background1"/>
                <w:kern w:val="24"/>
                <w:lang w:eastAsia="fr-FR"/>
                <w14:ligatures w14:val="none"/>
              </w:rPr>
              <w:t>%</w:t>
            </w:r>
          </w:p>
        </w:tc>
        <w:tc>
          <w:tcPr>
            <w:tcW w:w="3300" w:type="dxa"/>
            <w:tcBorders>
              <w:top w:val="nil"/>
              <w:left w:val="nil"/>
              <w:bottom w:val="single" w:sz="8" w:space="0" w:color="BFBFBF"/>
              <w:right w:val="nil"/>
            </w:tcBorders>
            <w:shd w:val="clear" w:color="auto" w:fill="404040"/>
            <w:tcMar>
              <w:top w:w="228" w:type="dxa"/>
              <w:left w:w="19" w:type="dxa"/>
              <w:bottom w:w="0" w:type="dxa"/>
              <w:right w:w="19" w:type="dxa"/>
            </w:tcMar>
            <w:vAlign w:val="center"/>
            <w:hideMark/>
          </w:tcPr>
          <w:p w14:paraId="3FC49BD7" w14:textId="27BF2EC6" w:rsidR="002F67E4" w:rsidRPr="00B12856" w:rsidRDefault="009567F0"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7</w:t>
            </w:r>
            <w:r w:rsidR="002F67E4" w:rsidRPr="00B12856">
              <w:rPr>
                <w:rFonts w:ascii="Aptos" w:eastAsia="Times New Roman" w:hAnsi="Aptos" w:cs="Arial"/>
                <w:color w:val="FFFFFF" w:themeColor="background1"/>
                <w:kern w:val="24"/>
                <w:lang w:eastAsia="fr-FR"/>
                <w14:ligatures w14:val="none"/>
              </w:rPr>
              <w:t>5%</w:t>
            </w:r>
          </w:p>
        </w:tc>
      </w:tr>
      <w:tr w:rsidR="002F67E4" w:rsidRPr="00B12856" w14:paraId="6C4011F0" w14:textId="77777777" w:rsidTr="006475FD">
        <w:trPr>
          <w:trHeight w:val="567"/>
        </w:trPr>
        <w:tc>
          <w:tcPr>
            <w:tcW w:w="1114"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067BA5C1" w14:textId="77777777"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2</w:t>
            </w:r>
          </w:p>
        </w:tc>
        <w:tc>
          <w:tcPr>
            <w:tcW w:w="2734"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5092A09F" w14:textId="078FFDAD"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80</w:t>
            </w:r>
            <w:r w:rsidR="00B77303">
              <w:rPr>
                <w:rFonts w:ascii="Aptos" w:eastAsia="Times New Roman" w:hAnsi="Aptos" w:cs="Arial"/>
                <w:color w:val="FFFFFF" w:themeColor="background1"/>
                <w:kern w:val="24"/>
                <w:lang w:eastAsia="fr-FR"/>
                <w14:ligatures w14:val="none"/>
              </w:rPr>
              <w:t>0</w:t>
            </w:r>
            <w:r w:rsidRPr="00B12856">
              <w:rPr>
                <w:rFonts w:ascii="Aptos" w:eastAsia="Times New Roman" w:hAnsi="Aptos" w:cs="Arial"/>
                <w:color w:val="FFFFFF" w:themeColor="background1"/>
                <w:kern w:val="24"/>
                <w:lang w:eastAsia="fr-FR"/>
                <w14:ligatures w14:val="none"/>
              </w:rPr>
              <w:t>&lt;QF&lt;</w:t>
            </w:r>
            <w:r>
              <w:rPr>
                <w:rFonts w:ascii="Aptos" w:eastAsia="Times New Roman" w:hAnsi="Aptos" w:cs="Arial"/>
                <w:color w:val="FFFFFF" w:themeColor="background1"/>
                <w:kern w:val="24"/>
                <w:lang w:eastAsia="fr-FR"/>
                <w14:ligatures w14:val="none"/>
              </w:rPr>
              <w:t>1200</w:t>
            </w:r>
          </w:p>
        </w:tc>
        <w:tc>
          <w:tcPr>
            <w:tcW w:w="2863"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2428E6DB" w14:textId="667390D0"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4</w:t>
            </w:r>
            <w:r w:rsidRPr="00B12856">
              <w:rPr>
                <w:rFonts w:ascii="Aptos" w:eastAsia="Times New Roman" w:hAnsi="Aptos" w:cs="Arial"/>
                <w:color w:val="FFFFFF" w:themeColor="background1"/>
                <w:kern w:val="24"/>
                <w:lang w:eastAsia="fr-FR"/>
                <w14:ligatures w14:val="none"/>
              </w:rPr>
              <w:t>0%</w:t>
            </w:r>
          </w:p>
        </w:tc>
        <w:tc>
          <w:tcPr>
            <w:tcW w:w="3300" w:type="dxa"/>
            <w:tcBorders>
              <w:top w:val="single" w:sz="8" w:space="0" w:color="BFBFBF"/>
              <w:left w:val="nil"/>
              <w:bottom w:val="nil"/>
              <w:right w:val="nil"/>
            </w:tcBorders>
            <w:shd w:val="clear" w:color="auto" w:fill="262626"/>
            <w:tcMar>
              <w:top w:w="228" w:type="dxa"/>
              <w:left w:w="19" w:type="dxa"/>
              <w:bottom w:w="0" w:type="dxa"/>
              <w:right w:w="19" w:type="dxa"/>
            </w:tcMar>
            <w:vAlign w:val="center"/>
            <w:hideMark/>
          </w:tcPr>
          <w:p w14:paraId="502D1309" w14:textId="4870E937"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50</w:t>
            </w:r>
            <w:r w:rsidRPr="00B12856">
              <w:rPr>
                <w:rFonts w:ascii="Aptos" w:eastAsia="Times New Roman" w:hAnsi="Aptos" w:cs="Arial"/>
                <w:color w:val="FFFFFF" w:themeColor="background1"/>
                <w:kern w:val="24"/>
                <w:lang w:eastAsia="fr-FR"/>
                <w14:ligatures w14:val="none"/>
              </w:rPr>
              <w:t>%</w:t>
            </w:r>
          </w:p>
        </w:tc>
      </w:tr>
      <w:tr w:rsidR="002F67E4" w:rsidRPr="00B12856" w14:paraId="20F0EE38" w14:textId="77777777" w:rsidTr="006475FD">
        <w:trPr>
          <w:trHeight w:val="194"/>
        </w:trPr>
        <w:tc>
          <w:tcPr>
            <w:tcW w:w="1114" w:type="dxa"/>
            <w:tcBorders>
              <w:top w:val="nil"/>
              <w:left w:val="nil"/>
              <w:bottom w:val="nil"/>
              <w:right w:val="nil"/>
            </w:tcBorders>
            <w:shd w:val="clear" w:color="auto" w:fill="404040"/>
            <w:tcMar>
              <w:top w:w="228" w:type="dxa"/>
              <w:left w:w="19" w:type="dxa"/>
              <w:bottom w:w="0" w:type="dxa"/>
              <w:right w:w="19" w:type="dxa"/>
            </w:tcMar>
            <w:vAlign w:val="center"/>
            <w:hideMark/>
          </w:tcPr>
          <w:p w14:paraId="70FD23F0" w14:textId="77777777"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1</w:t>
            </w:r>
          </w:p>
        </w:tc>
        <w:tc>
          <w:tcPr>
            <w:tcW w:w="2734" w:type="dxa"/>
            <w:tcBorders>
              <w:top w:val="nil"/>
              <w:left w:val="nil"/>
              <w:bottom w:val="nil"/>
              <w:right w:val="nil"/>
            </w:tcBorders>
            <w:shd w:val="clear" w:color="auto" w:fill="404040"/>
            <w:tcMar>
              <w:top w:w="228" w:type="dxa"/>
              <w:left w:w="19" w:type="dxa"/>
              <w:bottom w:w="0" w:type="dxa"/>
              <w:right w:w="19" w:type="dxa"/>
            </w:tcMar>
            <w:vAlign w:val="center"/>
            <w:hideMark/>
          </w:tcPr>
          <w:p w14:paraId="3A58A2DA" w14:textId="797B6483"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sidRPr="00B12856">
              <w:rPr>
                <w:rFonts w:ascii="Aptos" w:eastAsia="Times New Roman" w:hAnsi="Aptos" w:cs="Arial"/>
                <w:color w:val="FFFFFF" w:themeColor="background1"/>
                <w:kern w:val="24"/>
                <w:lang w:eastAsia="fr-FR"/>
                <w14:ligatures w14:val="none"/>
              </w:rPr>
              <w:t>QF&lt;</w:t>
            </w:r>
            <w:r>
              <w:rPr>
                <w:rFonts w:ascii="Aptos" w:eastAsia="Times New Roman" w:hAnsi="Aptos" w:cs="Arial"/>
                <w:color w:val="FFFFFF" w:themeColor="background1"/>
                <w:kern w:val="24"/>
                <w:lang w:eastAsia="fr-FR"/>
                <w14:ligatures w14:val="none"/>
              </w:rPr>
              <w:t>800</w:t>
            </w:r>
          </w:p>
        </w:tc>
        <w:tc>
          <w:tcPr>
            <w:tcW w:w="2863" w:type="dxa"/>
            <w:tcBorders>
              <w:top w:val="nil"/>
              <w:left w:val="nil"/>
              <w:bottom w:val="nil"/>
              <w:right w:val="nil"/>
            </w:tcBorders>
            <w:shd w:val="clear" w:color="auto" w:fill="404040"/>
            <w:tcMar>
              <w:top w:w="228" w:type="dxa"/>
              <w:left w:w="19" w:type="dxa"/>
              <w:bottom w:w="0" w:type="dxa"/>
              <w:right w:w="19" w:type="dxa"/>
            </w:tcMar>
            <w:vAlign w:val="center"/>
            <w:hideMark/>
          </w:tcPr>
          <w:p w14:paraId="756C57FD" w14:textId="54C92632"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20</w:t>
            </w:r>
            <w:r w:rsidRPr="00B12856">
              <w:rPr>
                <w:rFonts w:ascii="Aptos" w:eastAsia="Times New Roman" w:hAnsi="Aptos" w:cs="Arial"/>
                <w:color w:val="FFFFFF" w:themeColor="background1"/>
                <w:kern w:val="24"/>
                <w:lang w:eastAsia="fr-FR"/>
                <w14:ligatures w14:val="none"/>
              </w:rPr>
              <w:t>%</w:t>
            </w:r>
          </w:p>
        </w:tc>
        <w:tc>
          <w:tcPr>
            <w:tcW w:w="3300" w:type="dxa"/>
            <w:tcBorders>
              <w:top w:val="nil"/>
              <w:left w:val="nil"/>
              <w:bottom w:val="nil"/>
              <w:right w:val="nil"/>
            </w:tcBorders>
            <w:shd w:val="clear" w:color="auto" w:fill="404040"/>
            <w:tcMar>
              <w:top w:w="228" w:type="dxa"/>
              <w:left w:w="19" w:type="dxa"/>
              <w:bottom w:w="0" w:type="dxa"/>
              <w:right w:w="19" w:type="dxa"/>
            </w:tcMar>
            <w:vAlign w:val="center"/>
            <w:hideMark/>
          </w:tcPr>
          <w:p w14:paraId="58787A19" w14:textId="664F4593" w:rsidR="002F67E4" w:rsidRPr="00B12856" w:rsidRDefault="002F67E4" w:rsidP="00314B96">
            <w:pPr>
              <w:spacing w:after="0" w:line="240" w:lineRule="auto"/>
              <w:jc w:val="center"/>
              <w:textAlignment w:val="center"/>
              <w:rPr>
                <w:rFonts w:ascii="Arial" w:eastAsia="Times New Roman" w:hAnsi="Arial" w:cs="Arial"/>
                <w:kern w:val="0"/>
                <w:lang w:eastAsia="fr-FR"/>
                <w14:ligatures w14:val="none"/>
              </w:rPr>
            </w:pPr>
            <w:r>
              <w:rPr>
                <w:rFonts w:ascii="Aptos" w:eastAsia="Times New Roman" w:hAnsi="Aptos" w:cs="Arial"/>
                <w:color w:val="FFFFFF" w:themeColor="background1"/>
                <w:kern w:val="24"/>
                <w:lang w:eastAsia="fr-FR"/>
                <w14:ligatures w14:val="none"/>
              </w:rPr>
              <w:t>3</w:t>
            </w:r>
            <w:r w:rsidRPr="00B12856">
              <w:rPr>
                <w:rFonts w:ascii="Aptos" w:eastAsia="Times New Roman" w:hAnsi="Aptos" w:cs="Arial"/>
                <w:color w:val="FFFFFF" w:themeColor="background1"/>
                <w:kern w:val="24"/>
                <w:lang w:eastAsia="fr-FR"/>
                <w14:ligatures w14:val="none"/>
              </w:rPr>
              <w:t>0%</w:t>
            </w:r>
          </w:p>
        </w:tc>
      </w:tr>
    </w:tbl>
    <w:p w14:paraId="2A45B268" w14:textId="77777777" w:rsidR="002F67E4" w:rsidRDefault="002F67E4" w:rsidP="0001510E"/>
    <w:p w14:paraId="3982B157" w14:textId="766A3C1E" w:rsidR="00CB5C2C" w:rsidRPr="00143316" w:rsidRDefault="00F41B8A" w:rsidP="0001510E">
      <w:pPr>
        <w:rPr>
          <w:rFonts w:ascii="Gotham" w:hAnsi="Gotham"/>
        </w:rPr>
      </w:pPr>
      <w:r w:rsidRPr="00143316">
        <w:rPr>
          <w:rFonts w:ascii="Gotham" w:hAnsi="Gotham"/>
        </w:rPr>
        <w:t>Ainsi l’évolution des tarifs proposée par nouvelle tranches de QF est la suivante</w:t>
      </w:r>
      <w:r w:rsidR="00471FE5" w:rsidRPr="00143316">
        <w:rPr>
          <w:rFonts w:ascii="Gotham" w:hAnsi="Gotham"/>
        </w:rPr>
        <w:t> :</w:t>
      </w:r>
    </w:p>
    <w:p w14:paraId="6B55CA84" w14:textId="560A746D" w:rsidR="005507A6" w:rsidRDefault="00E146A0" w:rsidP="0001510E">
      <w:r w:rsidRPr="00E146A0">
        <w:rPr>
          <w:noProof/>
        </w:rPr>
        <w:lastRenderedPageBreak/>
        <w:drawing>
          <wp:inline distT="0" distB="0" distL="0" distR="0" wp14:anchorId="68E42C2B" wp14:editId="361FFBA4">
            <wp:extent cx="6592256" cy="6506275"/>
            <wp:effectExtent l="0" t="0" r="0" b="8890"/>
            <wp:docPr id="148708557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0235" cy="6543759"/>
                    </a:xfrm>
                    <a:prstGeom prst="rect">
                      <a:avLst/>
                    </a:prstGeom>
                    <a:noFill/>
                    <a:ln>
                      <a:noFill/>
                    </a:ln>
                  </pic:spPr>
                </pic:pic>
              </a:graphicData>
            </a:graphic>
          </wp:inline>
        </w:drawing>
      </w:r>
    </w:p>
    <w:p w14:paraId="3409810E" w14:textId="77777777" w:rsidR="00471FE5" w:rsidRPr="00143316" w:rsidRDefault="00471FE5" w:rsidP="0001510E">
      <w:pPr>
        <w:rPr>
          <w:rFonts w:ascii="Gotham" w:hAnsi="Gotham"/>
        </w:rPr>
      </w:pPr>
    </w:p>
    <w:p w14:paraId="475A1BF7" w14:textId="063D9467" w:rsidR="00471FE5" w:rsidRPr="00143316" w:rsidRDefault="00471FE5" w:rsidP="0001510E">
      <w:pPr>
        <w:rPr>
          <w:rFonts w:ascii="Gotham" w:hAnsi="Gotham"/>
        </w:rPr>
      </w:pPr>
      <w:r w:rsidRPr="00143316">
        <w:rPr>
          <w:rFonts w:ascii="Gotham" w:hAnsi="Gotham"/>
        </w:rPr>
        <w:t>Votée à l’unanimité.</w:t>
      </w:r>
    </w:p>
    <w:p w14:paraId="68504509" w14:textId="77777777" w:rsidR="00471FE5" w:rsidRPr="00143316" w:rsidRDefault="00471FE5" w:rsidP="0001510E">
      <w:pPr>
        <w:rPr>
          <w:rFonts w:ascii="Gotham" w:hAnsi="Gotham"/>
        </w:rPr>
      </w:pPr>
    </w:p>
    <w:p w14:paraId="340CC671" w14:textId="2ED2C02A" w:rsidR="00471FE5" w:rsidRPr="00143316" w:rsidRDefault="001D6422" w:rsidP="0001510E">
      <w:pPr>
        <w:rPr>
          <w:rFonts w:ascii="Gotham" w:hAnsi="Gotham"/>
          <w:b/>
          <w:bCs/>
        </w:rPr>
      </w:pPr>
      <w:r w:rsidRPr="00143316">
        <w:rPr>
          <w:rFonts w:ascii="Gotham" w:hAnsi="Gotham"/>
          <w:b/>
          <w:bCs/>
        </w:rPr>
        <w:t>Modification d’une régie de recettes pour le centre de loisirs 3/11 ans</w:t>
      </w:r>
    </w:p>
    <w:p w14:paraId="235F9E29" w14:textId="77777777" w:rsidR="00143316" w:rsidRPr="00143316" w:rsidRDefault="00143316" w:rsidP="00143316">
      <w:pPr>
        <w:jc w:val="both"/>
        <w:rPr>
          <w:rFonts w:ascii="Gotham" w:hAnsi="Gotham"/>
        </w:rPr>
      </w:pPr>
      <w:proofErr w:type="gramStart"/>
      <w:r w:rsidRPr="00143316">
        <w:rPr>
          <w:rFonts w:ascii="Gotham" w:hAnsi="Gotham"/>
        </w:rPr>
        <w:t>Suite au</w:t>
      </w:r>
      <w:proofErr w:type="gramEnd"/>
      <w:r w:rsidRPr="00143316">
        <w:rPr>
          <w:rFonts w:ascii="Gotham" w:hAnsi="Gotham"/>
        </w:rPr>
        <w:t xml:space="preserve"> contrôle de la régie par la trésorerie des modifications sont nécessaires :</w:t>
      </w:r>
    </w:p>
    <w:p w14:paraId="26434232" w14:textId="4E186A93" w:rsidR="00143316" w:rsidRPr="00143316" w:rsidRDefault="00143316" w:rsidP="00143316">
      <w:pPr>
        <w:jc w:val="both"/>
        <w:rPr>
          <w:rFonts w:ascii="Gotham" w:hAnsi="Gotham"/>
        </w:rPr>
      </w:pPr>
      <w:r w:rsidRPr="00143316">
        <w:rPr>
          <w:rFonts w:ascii="Gotham" w:hAnsi="Gotham"/>
        </w:rPr>
        <w:t>Le montant de l'encaisse autorisé doit être augmenté et la possibilité de payer en espèces doit être supprimé</w:t>
      </w:r>
      <w:r w:rsidR="005A330A">
        <w:rPr>
          <w:rFonts w:ascii="Gotham" w:hAnsi="Gotham"/>
        </w:rPr>
        <w:t>e</w:t>
      </w:r>
      <w:r w:rsidRPr="00143316">
        <w:rPr>
          <w:rFonts w:ascii="Gotham" w:hAnsi="Gotham"/>
        </w:rPr>
        <w:t>.</w:t>
      </w:r>
    </w:p>
    <w:p w14:paraId="7D4F2D96" w14:textId="77777777" w:rsidR="00143316" w:rsidRPr="00143316" w:rsidRDefault="00143316" w:rsidP="00143316">
      <w:pPr>
        <w:jc w:val="both"/>
        <w:rPr>
          <w:rFonts w:ascii="Gotham" w:hAnsi="Gotham"/>
        </w:rPr>
      </w:pPr>
      <w:r w:rsidRPr="00143316">
        <w:rPr>
          <w:rFonts w:ascii="Gotham" w:hAnsi="Gotham"/>
        </w:rPr>
        <w:t xml:space="preserve">Les recettes désignées seront encaissées selon les modes de recouvrement suivants : </w:t>
      </w:r>
    </w:p>
    <w:p w14:paraId="6194C0E3" w14:textId="7403095E" w:rsidR="00143316" w:rsidRPr="00143316" w:rsidRDefault="00143316" w:rsidP="00143316">
      <w:pPr>
        <w:jc w:val="both"/>
        <w:rPr>
          <w:rFonts w:ascii="Gotham" w:hAnsi="Gotham"/>
        </w:rPr>
      </w:pPr>
      <w:r w:rsidRPr="00143316">
        <w:rPr>
          <w:rFonts w:ascii="Gotham" w:hAnsi="Gotham"/>
        </w:rPr>
        <w:lastRenderedPageBreak/>
        <w:t>- chèques</w:t>
      </w:r>
    </w:p>
    <w:p w14:paraId="22B8A5CC" w14:textId="77777777" w:rsidR="00143316" w:rsidRPr="00143316" w:rsidRDefault="00143316" w:rsidP="00143316">
      <w:pPr>
        <w:jc w:val="both"/>
        <w:rPr>
          <w:rFonts w:ascii="Gotham" w:hAnsi="Gotham"/>
        </w:rPr>
      </w:pPr>
      <w:r w:rsidRPr="00143316">
        <w:rPr>
          <w:rFonts w:ascii="Gotham" w:hAnsi="Gotham"/>
        </w:rPr>
        <w:t>- paiement en ligne</w:t>
      </w:r>
    </w:p>
    <w:p w14:paraId="20BD5B14" w14:textId="77777777" w:rsidR="00143316" w:rsidRPr="00143316" w:rsidRDefault="00143316" w:rsidP="00143316">
      <w:pPr>
        <w:jc w:val="both"/>
        <w:rPr>
          <w:rFonts w:ascii="Gotham" w:hAnsi="Gotham"/>
        </w:rPr>
      </w:pPr>
      <w:r w:rsidRPr="00143316">
        <w:rPr>
          <w:rFonts w:ascii="Gotham" w:hAnsi="Gotham"/>
        </w:rPr>
        <w:t>- chèques vacances</w:t>
      </w:r>
    </w:p>
    <w:p w14:paraId="1B5BCB2F" w14:textId="77777777" w:rsidR="00143316" w:rsidRPr="00143316" w:rsidRDefault="00143316" w:rsidP="00143316">
      <w:pPr>
        <w:jc w:val="both"/>
        <w:rPr>
          <w:rFonts w:ascii="Gotham" w:hAnsi="Gotham"/>
        </w:rPr>
      </w:pPr>
      <w:r w:rsidRPr="00143316">
        <w:rPr>
          <w:rFonts w:ascii="Gotham" w:hAnsi="Gotham"/>
        </w:rPr>
        <w:t>- Chèques Emploi Services Universels (CESU)</w:t>
      </w:r>
    </w:p>
    <w:p w14:paraId="2B8E9767" w14:textId="0A3FD5B4" w:rsidR="00143316" w:rsidRPr="00143316" w:rsidRDefault="00143316" w:rsidP="00143316">
      <w:pPr>
        <w:jc w:val="both"/>
        <w:rPr>
          <w:rFonts w:ascii="Gotham" w:hAnsi="Gotham"/>
        </w:rPr>
      </w:pPr>
      <w:r w:rsidRPr="00143316">
        <w:rPr>
          <w:rFonts w:ascii="Gotham" w:hAnsi="Gotham"/>
        </w:rPr>
        <w:t>Ces deux derniers moyens de paiement pourront être utilisés dans leurs formes dématérialisées.</w:t>
      </w:r>
    </w:p>
    <w:p w14:paraId="18530F48" w14:textId="43B77D96" w:rsidR="00143316" w:rsidRPr="00143316" w:rsidRDefault="00143316" w:rsidP="00143316">
      <w:pPr>
        <w:jc w:val="both"/>
        <w:rPr>
          <w:rFonts w:ascii="Gotham" w:hAnsi="Gotham"/>
        </w:rPr>
      </w:pPr>
      <w:r w:rsidRPr="00143316">
        <w:rPr>
          <w:rFonts w:ascii="Gotham" w:hAnsi="Gotham"/>
        </w:rPr>
        <w:t xml:space="preserve">Elles sont perçues contre remise à l’usager d’une facture du SIVSC valant quittance. Cette facture sera disponible sur le compte de chaque famille </w:t>
      </w:r>
      <w:r w:rsidR="00E15F68">
        <w:rPr>
          <w:rFonts w:ascii="Gotham" w:hAnsi="Gotham"/>
        </w:rPr>
        <w:t>sur le</w:t>
      </w:r>
      <w:r w:rsidRPr="00143316">
        <w:rPr>
          <w:rFonts w:ascii="Gotham" w:hAnsi="Gotham"/>
        </w:rPr>
        <w:t xml:space="preserve"> portail internet d’inscription.</w:t>
      </w:r>
    </w:p>
    <w:p w14:paraId="0CA8817A" w14:textId="3AC07EBE" w:rsidR="001D6422" w:rsidRPr="00E15F68" w:rsidRDefault="00E15F68" w:rsidP="0001510E">
      <w:pPr>
        <w:rPr>
          <w:rFonts w:ascii="Gotham" w:hAnsi="Gotham"/>
        </w:rPr>
      </w:pPr>
      <w:r w:rsidRPr="00E15F68">
        <w:rPr>
          <w:rFonts w:ascii="Gotham" w:hAnsi="Gotham"/>
        </w:rPr>
        <w:t>Votée à l’unanimité.</w:t>
      </w:r>
    </w:p>
    <w:p w14:paraId="5A0D18E6" w14:textId="77777777" w:rsidR="00E15F68" w:rsidRPr="00E15F68" w:rsidRDefault="00E15F68" w:rsidP="0001510E">
      <w:pPr>
        <w:rPr>
          <w:rFonts w:ascii="Gotham" w:hAnsi="Gotham"/>
        </w:rPr>
      </w:pPr>
    </w:p>
    <w:p w14:paraId="48AB555B" w14:textId="5ED99CFA" w:rsidR="00E15F68" w:rsidRPr="0043108D" w:rsidRDefault="00956DB9" w:rsidP="0043108D">
      <w:pPr>
        <w:jc w:val="both"/>
        <w:rPr>
          <w:rFonts w:ascii="Gotham" w:hAnsi="Gotham"/>
          <w:b/>
          <w:bCs/>
        </w:rPr>
      </w:pPr>
      <w:r w:rsidRPr="0043108D">
        <w:rPr>
          <w:rFonts w:ascii="Gotham" w:hAnsi="Gotham"/>
          <w:b/>
          <w:bCs/>
        </w:rPr>
        <w:t xml:space="preserve">Validation du </w:t>
      </w:r>
      <w:proofErr w:type="spellStart"/>
      <w:r w:rsidRPr="0043108D">
        <w:rPr>
          <w:rFonts w:ascii="Gotham" w:hAnsi="Gotham"/>
          <w:b/>
          <w:bCs/>
        </w:rPr>
        <w:t>Chautagne’Pass</w:t>
      </w:r>
      <w:proofErr w:type="spellEnd"/>
      <w:r w:rsidRPr="0043108D">
        <w:rPr>
          <w:rFonts w:ascii="Gotham" w:hAnsi="Gotham"/>
          <w:b/>
          <w:bCs/>
        </w:rPr>
        <w:t xml:space="preserve"> 2024</w:t>
      </w:r>
    </w:p>
    <w:p w14:paraId="136F5A63" w14:textId="77777777" w:rsidR="0043108D" w:rsidRPr="0043108D" w:rsidRDefault="0043108D" w:rsidP="0043108D">
      <w:pPr>
        <w:jc w:val="both"/>
        <w:rPr>
          <w:rFonts w:ascii="Gotham" w:hAnsi="Gotham"/>
        </w:rPr>
      </w:pPr>
      <w:r w:rsidRPr="0043108D">
        <w:rPr>
          <w:rFonts w:ascii="Gotham" w:hAnsi="Gotham"/>
          <w:b/>
          <w:bCs/>
          <w:i/>
          <w:iCs/>
        </w:rPr>
        <w:t xml:space="preserve">Attribution de subventions aux associations au titre du Chautagne’ </w:t>
      </w:r>
      <w:proofErr w:type="spellStart"/>
      <w:r w:rsidRPr="0043108D">
        <w:rPr>
          <w:rFonts w:ascii="Gotham" w:hAnsi="Gotham"/>
          <w:b/>
          <w:bCs/>
          <w:i/>
          <w:iCs/>
        </w:rPr>
        <w:t>Pass</w:t>
      </w:r>
      <w:proofErr w:type="spellEnd"/>
      <w:r w:rsidRPr="0043108D">
        <w:rPr>
          <w:rFonts w:ascii="Gotham" w:hAnsi="Gotham"/>
          <w:b/>
          <w:bCs/>
          <w:i/>
          <w:iCs/>
        </w:rPr>
        <w:t xml:space="preserve"> 2024</w:t>
      </w:r>
    </w:p>
    <w:p w14:paraId="169A1542" w14:textId="44689327" w:rsidR="0043108D" w:rsidRPr="0043108D" w:rsidRDefault="0043108D" w:rsidP="0043108D">
      <w:pPr>
        <w:jc w:val="both"/>
        <w:rPr>
          <w:rFonts w:ascii="Gotham" w:hAnsi="Gotham"/>
        </w:rPr>
      </w:pPr>
      <w:r w:rsidRPr="0043108D">
        <w:rPr>
          <w:rFonts w:ascii="Gotham" w:hAnsi="Gotham"/>
        </w:rPr>
        <w:t xml:space="preserve">Pour rappel, </w:t>
      </w:r>
      <w:r>
        <w:rPr>
          <w:rFonts w:ascii="Gotham" w:hAnsi="Gotham"/>
        </w:rPr>
        <w:t>c</w:t>
      </w:r>
      <w:r w:rsidRPr="0043108D">
        <w:rPr>
          <w:rFonts w:ascii="Gotham" w:hAnsi="Gotham"/>
        </w:rPr>
        <w:t xml:space="preserve">e dispositif se présente sous la forme de bon nominatif par enfant d’une valeur comprise entre 10 et 20 </w:t>
      </w:r>
      <w:r w:rsidRPr="0043108D">
        <w:rPr>
          <w:rFonts w:ascii="Times New Roman" w:hAnsi="Times New Roman" w:cs="Times New Roman"/>
        </w:rPr>
        <w:t>€</w:t>
      </w:r>
      <w:r w:rsidRPr="0043108D">
        <w:rPr>
          <w:rFonts w:ascii="Gotham" w:hAnsi="Gotham"/>
        </w:rPr>
        <w:t xml:space="preserve"> en fonction des ressources de la famille et utilisables dans l’une des associations proposant des activités sportives ou culturelles sur le territoire du SIVSC.</w:t>
      </w:r>
    </w:p>
    <w:p w14:paraId="302E524E" w14:textId="77777777" w:rsidR="0043108D" w:rsidRPr="0043108D" w:rsidRDefault="0043108D" w:rsidP="0043108D">
      <w:pPr>
        <w:jc w:val="both"/>
        <w:rPr>
          <w:rFonts w:ascii="Gotham" w:hAnsi="Gotham"/>
        </w:rPr>
      </w:pPr>
      <w:r w:rsidRPr="0043108D">
        <w:rPr>
          <w:rFonts w:ascii="Gotham" w:hAnsi="Gotham"/>
        </w:rPr>
        <w:t>L’association accorde une remise de la valeur du bon et la collectivité verse alors aux associations une subvention compensatrice du montant du bon reçu.</w:t>
      </w:r>
    </w:p>
    <w:p w14:paraId="1ED9F6DF" w14:textId="77777777" w:rsidR="008A3269" w:rsidRDefault="0043108D" w:rsidP="0043108D">
      <w:pPr>
        <w:jc w:val="both"/>
        <w:rPr>
          <w:rFonts w:ascii="Gotham" w:hAnsi="Gotham"/>
        </w:rPr>
      </w:pPr>
      <w:r w:rsidRPr="0043108D">
        <w:rPr>
          <w:rFonts w:ascii="Gotham" w:hAnsi="Gotham"/>
        </w:rPr>
        <w:t xml:space="preserve">En parallèle, le SIVSC verse une aide de 10 euros par bon à l’association où l’enfant s’est inscrit. Ce montant est accordé en fonction de la demande de la famille auprès du SIVSC (domiciliation sur une des communes membres du SIVSC) et du nombre de bons retournés par l’association </w:t>
      </w:r>
      <w:r w:rsidR="00035256">
        <w:rPr>
          <w:rFonts w:ascii="Gotham" w:hAnsi="Gotham"/>
        </w:rPr>
        <w:t xml:space="preserve">au SIVSC pour les </w:t>
      </w:r>
      <w:r w:rsidRPr="0043108D">
        <w:rPr>
          <w:rFonts w:ascii="Gotham" w:hAnsi="Gotham"/>
        </w:rPr>
        <w:t xml:space="preserve">enfants concernés. </w:t>
      </w:r>
    </w:p>
    <w:p w14:paraId="0184B40B" w14:textId="77777777" w:rsidR="008A3269" w:rsidRDefault="008A3269" w:rsidP="0043108D">
      <w:pPr>
        <w:jc w:val="both"/>
        <w:rPr>
          <w:rFonts w:ascii="Gotham" w:hAnsi="Gotham"/>
        </w:rPr>
      </w:pPr>
    </w:p>
    <w:tbl>
      <w:tblPr>
        <w:tblW w:w="8930" w:type="dxa"/>
        <w:tblInd w:w="274" w:type="dxa"/>
        <w:tblCellMar>
          <w:left w:w="0" w:type="dxa"/>
          <w:right w:w="0" w:type="dxa"/>
        </w:tblCellMar>
        <w:tblLook w:val="0600" w:firstRow="0" w:lastRow="0" w:firstColumn="0" w:lastColumn="0" w:noHBand="1" w:noVBand="1"/>
      </w:tblPr>
      <w:tblGrid>
        <w:gridCol w:w="3826"/>
        <w:gridCol w:w="2553"/>
        <w:gridCol w:w="2551"/>
      </w:tblGrid>
      <w:tr w:rsidR="008A3269" w:rsidRPr="008A3269" w14:paraId="30C17567" w14:textId="77777777" w:rsidTr="008B7968">
        <w:trPr>
          <w:trHeight w:val="640"/>
        </w:trPr>
        <w:tc>
          <w:tcPr>
            <w:tcW w:w="3826"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70692E95" w14:textId="77777777" w:rsidR="008A3269" w:rsidRPr="008B7968" w:rsidRDefault="008A3269" w:rsidP="008A3269">
            <w:pPr>
              <w:jc w:val="center"/>
              <w:rPr>
                <w:rFonts w:ascii="Gotham" w:hAnsi="Gotham"/>
                <w:b/>
                <w:bCs/>
              </w:rPr>
            </w:pPr>
            <w:r w:rsidRPr="008B7968">
              <w:rPr>
                <w:rFonts w:ascii="Gotham" w:hAnsi="Gotham"/>
                <w:b/>
                <w:bCs/>
              </w:rPr>
              <w:t>Nom association</w:t>
            </w:r>
          </w:p>
        </w:tc>
        <w:tc>
          <w:tcPr>
            <w:tcW w:w="2553"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0E2D0F81" w14:textId="77777777" w:rsidR="008A3269" w:rsidRPr="008B7968" w:rsidRDefault="008A3269" w:rsidP="008A3269">
            <w:pPr>
              <w:jc w:val="center"/>
              <w:rPr>
                <w:rFonts w:ascii="Gotham" w:hAnsi="Gotham"/>
                <w:b/>
                <w:bCs/>
              </w:rPr>
            </w:pPr>
            <w:r w:rsidRPr="008B7968">
              <w:rPr>
                <w:rFonts w:ascii="Gotham" w:hAnsi="Gotham"/>
                <w:b/>
                <w:bCs/>
              </w:rPr>
              <w:t>Nombre de</w:t>
            </w:r>
          </w:p>
          <w:p w14:paraId="71B887A0" w14:textId="77777777" w:rsidR="008A3269" w:rsidRPr="008A3269" w:rsidRDefault="008A3269" w:rsidP="008A3269">
            <w:pPr>
              <w:jc w:val="center"/>
              <w:rPr>
                <w:rFonts w:ascii="Gotham" w:hAnsi="Gotham"/>
              </w:rPr>
            </w:pPr>
            <w:proofErr w:type="gramStart"/>
            <w:r w:rsidRPr="008B7968">
              <w:rPr>
                <w:rFonts w:ascii="Gotham" w:hAnsi="Gotham"/>
                <w:b/>
                <w:bCs/>
              </w:rPr>
              <w:t>bons</w:t>
            </w:r>
            <w:proofErr w:type="gramEnd"/>
            <w:r w:rsidRPr="008B7968">
              <w:rPr>
                <w:rFonts w:ascii="Gotham" w:hAnsi="Gotham"/>
                <w:b/>
                <w:bCs/>
              </w:rPr>
              <w:t xml:space="preserve"> remis</w:t>
            </w:r>
          </w:p>
        </w:tc>
        <w:tc>
          <w:tcPr>
            <w:tcW w:w="2551"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4F37F511" w14:textId="77777777" w:rsidR="008A3269" w:rsidRPr="008A3269" w:rsidRDefault="008A3269" w:rsidP="008A3269">
            <w:pPr>
              <w:jc w:val="center"/>
              <w:rPr>
                <w:rFonts w:ascii="Gotham" w:hAnsi="Gotham"/>
              </w:rPr>
            </w:pPr>
            <w:r w:rsidRPr="008A3269">
              <w:rPr>
                <w:rFonts w:ascii="Gotham" w:hAnsi="Gotham"/>
                <w:b/>
                <w:bCs/>
              </w:rPr>
              <w:t>Montant de la subvention</w:t>
            </w:r>
          </w:p>
        </w:tc>
      </w:tr>
      <w:tr w:rsidR="008A3269" w:rsidRPr="008A3269" w14:paraId="79CD8BCF" w14:textId="77777777" w:rsidTr="008B7968">
        <w:trPr>
          <w:trHeight w:val="439"/>
        </w:trPr>
        <w:tc>
          <w:tcPr>
            <w:tcW w:w="3826"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08C1BD4C" w14:textId="77777777" w:rsidR="008A3269" w:rsidRPr="008A3269" w:rsidRDefault="008A3269" w:rsidP="001E4565">
            <w:pPr>
              <w:jc w:val="center"/>
              <w:rPr>
                <w:rFonts w:ascii="Gotham" w:hAnsi="Gotham"/>
              </w:rPr>
            </w:pPr>
            <w:r w:rsidRPr="008A3269">
              <w:rPr>
                <w:rFonts w:ascii="Gotham" w:hAnsi="Gotham"/>
              </w:rPr>
              <w:t>ALCC</w:t>
            </w:r>
          </w:p>
        </w:tc>
        <w:tc>
          <w:tcPr>
            <w:tcW w:w="2553"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0B87CE06" w14:textId="77777777" w:rsidR="008A3269" w:rsidRPr="008A3269" w:rsidRDefault="008A3269" w:rsidP="001E4565">
            <w:pPr>
              <w:jc w:val="center"/>
              <w:rPr>
                <w:rFonts w:ascii="Gotham" w:hAnsi="Gotham"/>
              </w:rPr>
            </w:pPr>
            <w:r w:rsidRPr="008A3269">
              <w:rPr>
                <w:rFonts w:ascii="Gotham" w:hAnsi="Gotham"/>
              </w:rPr>
              <w:t>37</w:t>
            </w:r>
          </w:p>
        </w:tc>
        <w:tc>
          <w:tcPr>
            <w:tcW w:w="2551"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73F7859B" w14:textId="77777777" w:rsidR="008A3269" w:rsidRPr="008A3269" w:rsidRDefault="008A3269" w:rsidP="001E4565">
            <w:pPr>
              <w:jc w:val="center"/>
              <w:rPr>
                <w:rFonts w:ascii="Gotham" w:hAnsi="Gotham"/>
              </w:rPr>
            </w:pPr>
            <w:r w:rsidRPr="008A3269">
              <w:rPr>
                <w:rFonts w:ascii="Gotham" w:hAnsi="Gotham"/>
                <w:b/>
                <w:bCs/>
              </w:rPr>
              <w:t xml:space="preserve">770 </w:t>
            </w:r>
            <w:r w:rsidRPr="008A3269">
              <w:rPr>
                <w:rFonts w:ascii="Times New Roman" w:hAnsi="Times New Roman" w:cs="Times New Roman"/>
                <w:b/>
                <w:bCs/>
              </w:rPr>
              <w:t>€</w:t>
            </w:r>
          </w:p>
        </w:tc>
      </w:tr>
      <w:tr w:rsidR="008A3269" w:rsidRPr="008A3269" w14:paraId="4A3B0137" w14:textId="77777777" w:rsidTr="00157EA8">
        <w:trPr>
          <w:trHeight w:val="459"/>
        </w:trPr>
        <w:tc>
          <w:tcPr>
            <w:tcW w:w="3826"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5D7971D1" w14:textId="77777777" w:rsidR="008A3269" w:rsidRPr="008A3269" w:rsidRDefault="008A3269" w:rsidP="001E4565">
            <w:pPr>
              <w:jc w:val="center"/>
              <w:rPr>
                <w:rFonts w:ascii="Gotham" w:hAnsi="Gotham"/>
              </w:rPr>
            </w:pPr>
            <w:r w:rsidRPr="008A3269">
              <w:rPr>
                <w:rFonts w:ascii="Gotham" w:hAnsi="Gotham"/>
              </w:rPr>
              <w:t>ASCEC</w:t>
            </w:r>
          </w:p>
        </w:tc>
        <w:tc>
          <w:tcPr>
            <w:tcW w:w="2553"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1710553E" w14:textId="77777777" w:rsidR="008A3269" w:rsidRPr="008A3269" w:rsidRDefault="008A3269" w:rsidP="001E4565">
            <w:pPr>
              <w:jc w:val="center"/>
              <w:rPr>
                <w:rFonts w:ascii="Gotham" w:hAnsi="Gotham"/>
              </w:rPr>
            </w:pPr>
            <w:r w:rsidRPr="008A3269">
              <w:rPr>
                <w:rFonts w:ascii="Gotham" w:hAnsi="Gotham"/>
              </w:rPr>
              <w:t>40</w:t>
            </w:r>
          </w:p>
        </w:tc>
        <w:tc>
          <w:tcPr>
            <w:tcW w:w="2551"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68A2D7BB" w14:textId="77777777" w:rsidR="008A3269" w:rsidRPr="008A3269" w:rsidRDefault="008A3269" w:rsidP="001E4565">
            <w:pPr>
              <w:jc w:val="center"/>
              <w:rPr>
                <w:rFonts w:ascii="Gotham" w:hAnsi="Gotham"/>
              </w:rPr>
            </w:pPr>
            <w:r w:rsidRPr="008A3269">
              <w:rPr>
                <w:rFonts w:ascii="Gotham" w:hAnsi="Gotham"/>
                <w:b/>
                <w:bCs/>
              </w:rPr>
              <w:t xml:space="preserve">905 </w:t>
            </w:r>
            <w:r w:rsidRPr="008A3269">
              <w:rPr>
                <w:rFonts w:ascii="Times New Roman" w:hAnsi="Times New Roman" w:cs="Times New Roman"/>
                <w:b/>
                <w:bCs/>
              </w:rPr>
              <w:t>€</w:t>
            </w:r>
          </w:p>
        </w:tc>
      </w:tr>
      <w:tr w:rsidR="008A3269" w:rsidRPr="008A3269" w14:paraId="7B290E14" w14:textId="77777777" w:rsidTr="008B7968">
        <w:trPr>
          <w:trHeight w:val="439"/>
        </w:trPr>
        <w:tc>
          <w:tcPr>
            <w:tcW w:w="3826"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54AA847B" w14:textId="77777777" w:rsidR="008A3269" w:rsidRPr="008A3269" w:rsidRDefault="008A3269" w:rsidP="001E4565">
            <w:pPr>
              <w:jc w:val="center"/>
              <w:rPr>
                <w:rFonts w:ascii="Gotham" w:hAnsi="Gotham"/>
              </w:rPr>
            </w:pPr>
            <w:r w:rsidRPr="008A3269">
              <w:rPr>
                <w:rFonts w:ascii="Gotham" w:hAnsi="Gotham"/>
              </w:rPr>
              <w:t>Culture et patrimoine</w:t>
            </w:r>
          </w:p>
        </w:tc>
        <w:tc>
          <w:tcPr>
            <w:tcW w:w="2553"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2CA932EF" w14:textId="77777777" w:rsidR="008A3269" w:rsidRPr="008A3269" w:rsidRDefault="008A3269" w:rsidP="001E4565">
            <w:pPr>
              <w:jc w:val="center"/>
              <w:rPr>
                <w:rFonts w:ascii="Gotham" w:hAnsi="Gotham"/>
              </w:rPr>
            </w:pPr>
            <w:r w:rsidRPr="008A3269">
              <w:rPr>
                <w:rFonts w:ascii="Gotham" w:hAnsi="Gotham"/>
              </w:rPr>
              <w:t>2</w:t>
            </w:r>
          </w:p>
        </w:tc>
        <w:tc>
          <w:tcPr>
            <w:tcW w:w="2551"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7213C2E7" w14:textId="77777777" w:rsidR="008A3269" w:rsidRPr="008A3269" w:rsidRDefault="008A3269" w:rsidP="001E4565">
            <w:pPr>
              <w:jc w:val="center"/>
              <w:rPr>
                <w:rFonts w:ascii="Gotham" w:hAnsi="Gotham"/>
              </w:rPr>
            </w:pPr>
            <w:r w:rsidRPr="008A3269">
              <w:rPr>
                <w:rFonts w:ascii="Gotham" w:hAnsi="Gotham"/>
                <w:b/>
                <w:bCs/>
              </w:rPr>
              <w:t xml:space="preserve">50 </w:t>
            </w:r>
            <w:r w:rsidRPr="008A3269">
              <w:rPr>
                <w:rFonts w:ascii="Times New Roman" w:hAnsi="Times New Roman" w:cs="Times New Roman"/>
                <w:b/>
                <w:bCs/>
              </w:rPr>
              <w:t>€</w:t>
            </w:r>
          </w:p>
        </w:tc>
      </w:tr>
      <w:tr w:rsidR="008A3269" w:rsidRPr="008A3269" w14:paraId="2A5A5787" w14:textId="77777777" w:rsidTr="008B7968">
        <w:trPr>
          <w:trHeight w:val="439"/>
        </w:trPr>
        <w:tc>
          <w:tcPr>
            <w:tcW w:w="3826"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710E0056" w14:textId="37128C1B" w:rsidR="008A3269" w:rsidRPr="008A3269" w:rsidRDefault="008A3269" w:rsidP="001E4565">
            <w:pPr>
              <w:jc w:val="center"/>
              <w:rPr>
                <w:rFonts w:ascii="Gotham" w:hAnsi="Gotham"/>
              </w:rPr>
            </w:pPr>
            <w:r w:rsidRPr="008A3269">
              <w:rPr>
                <w:rFonts w:ascii="Gotham" w:hAnsi="Gotham"/>
              </w:rPr>
              <w:t>Football Club EFC</w:t>
            </w:r>
          </w:p>
        </w:tc>
        <w:tc>
          <w:tcPr>
            <w:tcW w:w="2553"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412FD2D0" w14:textId="5D95BDFA" w:rsidR="008A3269" w:rsidRPr="008A3269" w:rsidRDefault="008A3269" w:rsidP="001E4565">
            <w:pPr>
              <w:jc w:val="center"/>
              <w:rPr>
                <w:rFonts w:ascii="Gotham" w:hAnsi="Gotham"/>
              </w:rPr>
            </w:pPr>
            <w:r w:rsidRPr="008A3269">
              <w:rPr>
                <w:rFonts w:ascii="Gotham" w:hAnsi="Gotham"/>
              </w:rPr>
              <w:t>49</w:t>
            </w:r>
          </w:p>
        </w:tc>
        <w:tc>
          <w:tcPr>
            <w:tcW w:w="2551"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62B73ADF" w14:textId="64F85E9E" w:rsidR="008A3269" w:rsidRPr="008A3269" w:rsidRDefault="008A3269" w:rsidP="001E4565">
            <w:pPr>
              <w:jc w:val="center"/>
              <w:rPr>
                <w:rFonts w:ascii="Gotham" w:hAnsi="Gotham"/>
              </w:rPr>
            </w:pPr>
            <w:r w:rsidRPr="008A3269">
              <w:rPr>
                <w:rFonts w:ascii="Gotham" w:hAnsi="Gotham"/>
                <w:b/>
                <w:bCs/>
              </w:rPr>
              <w:t>10</w:t>
            </w:r>
            <w:r w:rsidR="00666B2E">
              <w:rPr>
                <w:rFonts w:ascii="Gotham" w:hAnsi="Gotham"/>
                <w:b/>
                <w:bCs/>
              </w:rPr>
              <w:t>85</w:t>
            </w:r>
            <w:r w:rsidRPr="008A3269">
              <w:rPr>
                <w:rFonts w:ascii="Gotham" w:hAnsi="Gotham"/>
                <w:b/>
                <w:bCs/>
              </w:rPr>
              <w:t xml:space="preserve"> </w:t>
            </w:r>
            <w:r w:rsidRPr="008A3269">
              <w:rPr>
                <w:rFonts w:ascii="Times New Roman" w:hAnsi="Times New Roman" w:cs="Times New Roman"/>
                <w:b/>
                <w:bCs/>
              </w:rPr>
              <w:t>€</w:t>
            </w:r>
          </w:p>
        </w:tc>
      </w:tr>
      <w:tr w:rsidR="008A3269" w:rsidRPr="008A3269" w14:paraId="00EE7F00" w14:textId="77777777" w:rsidTr="008B7968">
        <w:trPr>
          <w:trHeight w:val="439"/>
        </w:trPr>
        <w:tc>
          <w:tcPr>
            <w:tcW w:w="3826"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66DC99B4" w14:textId="77777777" w:rsidR="008A3269" w:rsidRPr="008A3269" w:rsidRDefault="008A3269" w:rsidP="001E4565">
            <w:pPr>
              <w:jc w:val="center"/>
              <w:rPr>
                <w:rFonts w:ascii="Gotham" w:hAnsi="Gotham"/>
              </w:rPr>
            </w:pPr>
            <w:r w:rsidRPr="008A3269">
              <w:rPr>
                <w:rFonts w:ascii="Gotham" w:hAnsi="Gotham"/>
              </w:rPr>
              <w:t>Karaté club</w:t>
            </w:r>
          </w:p>
        </w:tc>
        <w:tc>
          <w:tcPr>
            <w:tcW w:w="2553"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3801690E" w14:textId="77777777" w:rsidR="008A3269" w:rsidRPr="008A3269" w:rsidRDefault="008A3269" w:rsidP="001E4565">
            <w:pPr>
              <w:jc w:val="center"/>
              <w:rPr>
                <w:rFonts w:ascii="Gotham" w:hAnsi="Gotham"/>
              </w:rPr>
            </w:pPr>
            <w:r w:rsidRPr="008A3269">
              <w:rPr>
                <w:rFonts w:ascii="Gotham" w:hAnsi="Gotham"/>
              </w:rPr>
              <w:t>14</w:t>
            </w:r>
          </w:p>
        </w:tc>
        <w:tc>
          <w:tcPr>
            <w:tcW w:w="2551"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29280FAF" w14:textId="77777777" w:rsidR="008A3269" w:rsidRPr="008A3269" w:rsidRDefault="008A3269" w:rsidP="001E4565">
            <w:pPr>
              <w:jc w:val="center"/>
              <w:rPr>
                <w:rFonts w:ascii="Gotham" w:hAnsi="Gotham"/>
              </w:rPr>
            </w:pPr>
            <w:r w:rsidRPr="008A3269">
              <w:rPr>
                <w:rFonts w:ascii="Gotham" w:hAnsi="Gotham"/>
                <w:b/>
                <w:bCs/>
              </w:rPr>
              <w:t xml:space="preserve">290 </w:t>
            </w:r>
            <w:r w:rsidRPr="008A3269">
              <w:rPr>
                <w:rFonts w:ascii="Times New Roman" w:hAnsi="Times New Roman" w:cs="Times New Roman"/>
                <w:b/>
                <w:bCs/>
              </w:rPr>
              <w:t>€</w:t>
            </w:r>
          </w:p>
        </w:tc>
      </w:tr>
      <w:tr w:rsidR="008A3269" w:rsidRPr="008A3269" w14:paraId="3EE933EB" w14:textId="77777777" w:rsidTr="008B7968">
        <w:trPr>
          <w:trHeight w:val="439"/>
        </w:trPr>
        <w:tc>
          <w:tcPr>
            <w:tcW w:w="3826"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588ACEFB" w14:textId="77777777" w:rsidR="008A3269" w:rsidRPr="008A3269" w:rsidRDefault="008A3269" w:rsidP="001E4565">
            <w:pPr>
              <w:jc w:val="center"/>
              <w:rPr>
                <w:rFonts w:ascii="Gotham" w:hAnsi="Gotham"/>
              </w:rPr>
            </w:pPr>
            <w:r w:rsidRPr="008A3269">
              <w:rPr>
                <w:rFonts w:ascii="Gotham" w:hAnsi="Gotham"/>
                <w:b/>
                <w:bCs/>
              </w:rPr>
              <w:t>TOTAL</w:t>
            </w:r>
          </w:p>
        </w:tc>
        <w:tc>
          <w:tcPr>
            <w:tcW w:w="2553"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603364ED" w14:textId="77777777" w:rsidR="008A3269" w:rsidRPr="008A3269" w:rsidRDefault="008A3269" w:rsidP="001E4565">
            <w:pPr>
              <w:jc w:val="center"/>
              <w:rPr>
                <w:rFonts w:ascii="Gotham" w:hAnsi="Gotham"/>
              </w:rPr>
            </w:pPr>
            <w:r w:rsidRPr="008A3269">
              <w:rPr>
                <w:rFonts w:ascii="Gotham" w:hAnsi="Gotham"/>
                <w:b/>
                <w:bCs/>
              </w:rPr>
              <w:t>142</w:t>
            </w:r>
          </w:p>
        </w:tc>
        <w:tc>
          <w:tcPr>
            <w:tcW w:w="2551"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2EB3B310" w14:textId="6CE89611" w:rsidR="008A3269" w:rsidRPr="008A3269" w:rsidRDefault="008A3269" w:rsidP="001E4565">
            <w:pPr>
              <w:jc w:val="center"/>
              <w:rPr>
                <w:rFonts w:ascii="Gotham" w:hAnsi="Gotham"/>
              </w:rPr>
            </w:pPr>
            <w:r w:rsidRPr="008A3269">
              <w:rPr>
                <w:rFonts w:ascii="Gotham" w:hAnsi="Gotham"/>
                <w:b/>
                <w:bCs/>
              </w:rPr>
              <w:t>3</w:t>
            </w:r>
            <w:r w:rsidR="00666B2E">
              <w:rPr>
                <w:rFonts w:ascii="Gotham" w:hAnsi="Gotham"/>
                <w:b/>
                <w:bCs/>
              </w:rPr>
              <w:t>100</w:t>
            </w:r>
            <w:r w:rsidRPr="008A3269">
              <w:rPr>
                <w:rFonts w:ascii="Gotham" w:hAnsi="Gotham"/>
                <w:b/>
                <w:bCs/>
              </w:rPr>
              <w:t xml:space="preserve"> </w:t>
            </w:r>
            <w:r w:rsidRPr="008A3269">
              <w:rPr>
                <w:rFonts w:ascii="Times New Roman" w:hAnsi="Times New Roman" w:cs="Times New Roman"/>
                <w:b/>
                <w:bCs/>
              </w:rPr>
              <w:t>€</w:t>
            </w:r>
          </w:p>
        </w:tc>
      </w:tr>
    </w:tbl>
    <w:p w14:paraId="6BC5F87C" w14:textId="77777777" w:rsidR="008A3269" w:rsidRDefault="008A3269" w:rsidP="0043108D">
      <w:pPr>
        <w:jc w:val="both"/>
        <w:rPr>
          <w:rFonts w:ascii="Gotham" w:hAnsi="Gotham"/>
        </w:rPr>
      </w:pPr>
    </w:p>
    <w:p w14:paraId="130DCE4B" w14:textId="5AFBB5C1" w:rsidR="00035256" w:rsidRDefault="00035256" w:rsidP="0043108D">
      <w:pPr>
        <w:jc w:val="both"/>
        <w:rPr>
          <w:rFonts w:ascii="Gotham" w:hAnsi="Gotham"/>
        </w:rPr>
      </w:pPr>
      <w:r>
        <w:rPr>
          <w:rFonts w:ascii="Gotham" w:hAnsi="Gotham"/>
        </w:rPr>
        <w:t>Votée à l’unanimité.</w:t>
      </w:r>
    </w:p>
    <w:p w14:paraId="08454353" w14:textId="0FD8EAA4" w:rsidR="00035256" w:rsidRPr="00071D3E" w:rsidRDefault="00A35C4A" w:rsidP="0043108D">
      <w:pPr>
        <w:jc w:val="both"/>
        <w:rPr>
          <w:rFonts w:ascii="Gotham" w:hAnsi="Gotham"/>
          <w:b/>
          <w:bCs/>
          <w:u w:val="single"/>
        </w:rPr>
      </w:pPr>
      <w:r w:rsidRPr="00071D3E">
        <w:rPr>
          <w:rFonts w:ascii="Gotham" w:hAnsi="Gotham"/>
          <w:b/>
          <w:bCs/>
          <w:u w:val="single"/>
        </w:rPr>
        <w:lastRenderedPageBreak/>
        <w:t>Ressources Humaines</w:t>
      </w:r>
      <w:r w:rsidR="0077426E" w:rsidRPr="00071D3E">
        <w:rPr>
          <w:rFonts w:ascii="Gotham" w:hAnsi="Gotham"/>
          <w:b/>
          <w:bCs/>
          <w:u w:val="single"/>
        </w:rPr>
        <w:t> :</w:t>
      </w:r>
    </w:p>
    <w:p w14:paraId="4AB91686" w14:textId="77777777" w:rsidR="00035256" w:rsidRPr="0043108D" w:rsidRDefault="00035256" w:rsidP="0043108D">
      <w:pPr>
        <w:jc w:val="both"/>
        <w:rPr>
          <w:rFonts w:ascii="Gotham" w:hAnsi="Gotham"/>
        </w:rPr>
      </w:pPr>
    </w:p>
    <w:p w14:paraId="59EA36E2" w14:textId="4757E9A8" w:rsidR="00956DB9" w:rsidRPr="00594153" w:rsidRDefault="00071D3E" w:rsidP="0001510E">
      <w:pPr>
        <w:rPr>
          <w:rFonts w:ascii="Gotham" w:hAnsi="Gotham"/>
          <w:b/>
          <w:bCs/>
        </w:rPr>
      </w:pPr>
      <w:r w:rsidRPr="00594153">
        <w:rPr>
          <w:rFonts w:ascii="Gotham" w:hAnsi="Gotham"/>
          <w:b/>
          <w:bCs/>
        </w:rPr>
        <w:t>I</w:t>
      </w:r>
      <w:r w:rsidR="00594153">
        <w:rPr>
          <w:rFonts w:ascii="Gotham" w:hAnsi="Gotham"/>
          <w:b/>
          <w:bCs/>
        </w:rPr>
        <w:t>nstauration de l’indemnité horaire pour travail du dimanche et jours fériés :</w:t>
      </w:r>
    </w:p>
    <w:p w14:paraId="6007E788" w14:textId="77777777" w:rsidR="008210AA" w:rsidRPr="008210AA" w:rsidRDefault="008210AA" w:rsidP="008210AA">
      <w:pPr>
        <w:jc w:val="both"/>
        <w:rPr>
          <w:rFonts w:ascii="Gotham" w:hAnsi="Gotham"/>
        </w:rPr>
      </w:pPr>
      <w:r w:rsidRPr="008210AA">
        <w:rPr>
          <w:rFonts w:ascii="Gotham" w:hAnsi="Gotham"/>
        </w:rPr>
        <w:t>Le comité syndical a délibéré, en date du 01/08/2024, pour instaurer l’indemnité horaire pour travail du dimanche et jours fériés, pour l’agent en charge de la médiation et de la programmation culturelle du service culture.</w:t>
      </w:r>
    </w:p>
    <w:p w14:paraId="2A4A2772" w14:textId="77777777" w:rsidR="008210AA" w:rsidRPr="008210AA" w:rsidRDefault="008210AA" w:rsidP="008210AA">
      <w:pPr>
        <w:jc w:val="both"/>
        <w:rPr>
          <w:rFonts w:ascii="Gotham" w:hAnsi="Gotham"/>
        </w:rPr>
      </w:pPr>
      <w:r w:rsidRPr="008210AA">
        <w:rPr>
          <w:rFonts w:ascii="Gotham" w:hAnsi="Gotham"/>
        </w:rPr>
        <w:t xml:space="preserve">D’autres agents du SIVSC peuvent être amener à intervenir lors d’animations les dimanches et jours fériés. </w:t>
      </w:r>
    </w:p>
    <w:p w14:paraId="79D80E7C" w14:textId="77777777" w:rsidR="008210AA" w:rsidRPr="008210AA" w:rsidRDefault="008210AA" w:rsidP="008210AA">
      <w:pPr>
        <w:jc w:val="both"/>
        <w:rPr>
          <w:rFonts w:ascii="Gotham" w:hAnsi="Gotham"/>
        </w:rPr>
      </w:pPr>
      <w:r w:rsidRPr="008210AA">
        <w:rPr>
          <w:rFonts w:ascii="Gotham" w:hAnsi="Gotham"/>
        </w:rPr>
        <w:t> Afin de compenser cette sujétion particulière, Monsieur le Président propose d’accorder l’indemnité horaire pour travail du dimanche et des jours fériés d’un montant horaire de 0,74 euros aux agents suivants :</w:t>
      </w:r>
    </w:p>
    <w:p w14:paraId="70B0B596" w14:textId="77777777" w:rsidR="008210AA" w:rsidRPr="008210AA" w:rsidRDefault="008210AA" w:rsidP="008210AA">
      <w:pPr>
        <w:jc w:val="both"/>
        <w:rPr>
          <w:rFonts w:ascii="Gotham" w:hAnsi="Gotham"/>
        </w:rPr>
      </w:pPr>
      <w:r w:rsidRPr="008210AA">
        <w:rPr>
          <w:rFonts w:ascii="Gotham" w:hAnsi="Gotham"/>
        </w:rPr>
        <w:t>Assistants de conservation du patrimoine et des bibliothèques, Attachés territoriaux, Animateurs, Adjoints d’animation, Educateurs des activités physiques et sportives, Adjoints techniques.</w:t>
      </w:r>
    </w:p>
    <w:p w14:paraId="46333626" w14:textId="77777777" w:rsidR="008210AA" w:rsidRPr="008210AA" w:rsidRDefault="008210AA" w:rsidP="008210AA">
      <w:pPr>
        <w:jc w:val="both"/>
        <w:rPr>
          <w:rFonts w:ascii="Gotham" w:hAnsi="Gotham"/>
        </w:rPr>
      </w:pPr>
      <w:r w:rsidRPr="008210AA">
        <w:rPr>
          <w:rFonts w:ascii="Gotham" w:hAnsi="Gotham"/>
        </w:rPr>
        <w:t> Le montant indiqué ci-dessus est susceptible d’évolution selon la législation en vigueur.</w:t>
      </w:r>
    </w:p>
    <w:p w14:paraId="35B136FB" w14:textId="77777777" w:rsidR="008210AA" w:rsidRPr="008210AA" w:rsidRDefault="008210AA" w:rsidP="008210AA">
      <w:pPr>
        <w:jc w:val="both"/>
        <w:rPr>
          <w:rFonts w:ascii="Gotham" w:hAnsi="Gotham"/>
        </w:rPr>
      </w:pPr>
      <w:r w:rsidRPr="008210AA">
        <w:rPr>
          <w:rFonts w:ascii="Gotham" w:hAnsi="Gotham"/>
        </w:rPr>
        <w:t> </w:t>
      </w:r>
      <w:r w:rsidRPr="008210AA">
        <w:rPr>
          <w:rFonts w:ascii="Gotham" w:hAnsi="Gotham"/>
          <w:b/>
          <w:bCs/>
        </w:rPr>
        <w:t>L’indemnité sera perçue dès lors qu’un agent effectue un service :</w:t>
      </w:r>
    </w:p>
    <w:p w14:paraId="6A971997" w14:textId="77777777" w:rsidR="008210AA" w:rsidRPr="008210AA" w:rsidRDefault="008210AA" w:rsidP="008210AA">
      <w:pPr>
        <w:jc w:val="both"/>
        <w:rPr>
          <w:rFonts w:ascii="Gotham" w:hAnsi="Gotham"/>
        </w:rPr>
      </w:pPr>
      <w:proofErr w:type="gramStart"/>
      <w:r w:rsidRPr="008210AA">
        <w:rPr>
          <w:rFonts w:ascii="Gotham" w:hAnsi="Gotham"/>
          <w:b/>
          <w:bCs/>
        </w:rPr>
        <w:t>le</w:t>
      </w:r>
      <w:proofErr w:type="gramEnd"/>
      <w:r w:rsidRPr="008210AA">
        <w:rPr>
          <w:rFonts w:ascii="Gotham" w:hAnsi="Gotham"/>
          <w:b/>
          <w:bCs/>
        </w:rPr>
        <w:t xml:space="preserve"> dimanche ou les jours fériés entre 6</w:t>
      </w:r>
      <w:r w:rsidRPr="008210AA">
        <w:rPr>
          <w:rFonts w:ascii="Times New Roman" w:hAnsi="Times New Roman" w:cs="Times New Roman"/>
          <w:b/>
          <w:bCs/>
        </w:rPr>
        <w:t> </w:t>
      </w:r>
      <w:r w:rsidRPr="008210AA">
        <w:rPr>
          <w:rFonts w:ascii="Gotham" w:hAnsi="Gotham"/>
          <w:b/>
          <w:bCs/>
        </w:rPr>
        <w:t>heures et 21</w:t>
      </w:r>
      <w:r w:rsidRPr="008210AA">
        <w:rPr>
          <w:rFonts w:ascii="Times New Roman" w:hAnsi="Times New Roman" w:cs="Times New Roman"/>
          <w:b/>
          <w:bCs/>
        </w:rPr>
        <w:t> </w:t>
      </w:r>
      <w:r w:rsidRPr="008210AA">
        <w:rPr>
          <w:rFonts w:ascii="Gotham" w:hAnsi="Gotham"/>
          <w:b/>
          <w:bCs/>
        </w:rPr>
        <w:t>heures.</w:t>
      </w:r>
    </w:p>
    <w:p w14:paraId="7C0BFA4B" w14:textId="77777777" w:rsidR="008210AA" w:rsidRDefault="008210AA" w:rsidP="0001510E"/>
    <w:p w14:paraId="112543C2" w14:textId="03DBDAC2" w:rsidR="008210AA" w:rsidRPr="00594153" w:rsidRDefault="00775C58" w:rsidP="00594153">
      <w:pPr>
        <w:jc w:val="both"/>
        <w:rPr>
          <w:rFonts w:ascii="Gotham" w:hAnsi="Gotham"/>
        </w:rPr>
      </w:pPr>
      <w:r w:rsidRPr="00594153">
        <w:rPr>
          <w:rFonts w:ascii="Gotham" w:hAnsi="Gotham"/>
          <w:b/>
          <w:bCs/>
        </w:rPr>
        <w:t>Instauration des Indemnités Horaires pour Travail Normal de Nuit</w:t>
      </w:r>
    </w:p>
    <w:p w14:paraId="7E8D5CD2" w14:textId="77777777" w:rsidR="00775C58" w:rsidRPr="00775C58" w:rsidRDefault="00775C58" w:rsidP="00594153">
      <w:pPr>
        <w:jc w:val="both"/>
        <w:rPr>
          <w:rFonts w:ascii="Gotham" w:hAnsi="Gotham"/>
        </w:rPr>
      </w:pPr>
      <w:r w:rsidRPr="00775C58">
        <w:rPr>
          <w:rFonts w:ascii="Gotham" w:hAnsi="Gotham"/>
        </w:rPr>
        <w:t>Le comité syndical, dans sa séance du 01/08/2024, a délibéré l’instauration de l’indemnité horaire pour travail normal de nuit pour l’agent en charge de la médiation et de la programmation culturelles.</w:t>
      </w:r>
    </w:p>
    <w:p w14:paraId="102ECEC4" w14:textId="77777777" w:rsidR="00775C58" w:rsidRPr="00775C58" w:rsidRDefault="00775C58" w:rsidP="00594153">
      <w:pPr>
        <w:jc w:val="both"/>
        <w:rPr>
          <w:rFonts w:ascii="Gotham" w:hAnsi="Gotham"/>
        </w:rPr>
      </w:pPr>
      <w:r w:rsidRPr="00775C58">
        <w:rPr>
          <w:rFonts w:ascii="Gotham" w:hAnsi="Gotham"/>
        </w:rPr>
        <w:t>D’autres agents du SIVSC pourront être amener à intervenir entre 21 heures et 6 heures du matin lors d’animations.</w:t>
      </w:r>
    </w:p>
    <w:p w14:paraId="6EBEED06" w14:textId="77777777" w:rsidR="00775C58" w:rsidRPr="00775C58" w:rsidRDefault="00775C58" w:rsidP="00594153">
      <w:pPr>
        <w:jc w:val="both"/>
        <w:rPr>
          <w:rFonts w:ascii="Gotham" w:hAnsi="Gotham"/>
        </w:rPr>
      </w:pPr>
      <w:r w:rsidRPr="00775C58">
        <w:rPr>
          <w:rFonts w:ascii="Gotham" w:hAnsi="Gotham"/>
          <w:b/>
          <w:bCs/>
          <w:u w:val="single"/>
        </w:rPr>
        <w:t>BENEFICIAIRES </w:t>
      </w:r>
      <w:r w:rsidRPr="00775C58">
        <w:rPr>
          <w:rFonts w:ascii="Gotham" w:hAnsi="Gotham"/>
        </w:rPr>
        <w:t xml:space="preserve">: Agents titulaires ou stagiaires, Aux agents contractuels, Aux agents employés à temps partiel ou à temps non complet, qui relèvent du cadre d’emplois des : Assistants de conservation du patrimoine et des </w:t>
      </w:r>
      <w:proofErr w:type="gramStart"/>
      <w:r w:rsidRPr="00775C58">
        <w:rPr>
          <w:rFonts w:ascii="Gotham" w:hAnsi="Gotham"/>
        </w:rPr>
        <w:t>bibliothèques,,</w:t>
      </w:r>
      <w:proofErr w:type="gramEnd"/>
      <w:r w:rsidRPr="00775C58">
        <w:rPr>
          <w:rFonts w:ascii="Gotham" w:hAnsi="Gotham"/>
        </w:rPr>
        <w:t xml:space="preserve"> Attachés territoriaux,, Animateurs,, Adjoints d’animation, Educateurs des activités physiques et sportives, Adjoints techniques.</w:t>
      </w:r>
    </w:p>
    <w:p w14:paraId="2D97E562" w14:textId="77777777" w:rsidR="00775C58" w:rsidRPr="00775C58" w:rsidRDefault="00775C58" w:rsidP="00594153">
      <w:pPr>
        <w:jc w:val="both"/>
        <w:rPr>
          <w:rFonts w:ascii="Gotham" w:hAnsi="Gotham"/>
        </w:rPr>
      </w:pPr>
      <w:r w:rsidRPr="00775C58">
        <w:rPr>
          <w:rFonts w:ascii="Gotham" w:hAnsi="Gotham"/>
        </w:rPr>
        <w:t>Dans le but, d’accomplir un service normal entre 21 heures et 6 heures du matin, dans le cadre de la durée règlementaire hebdomadaire du travail.</w:t>
      </w:r>
    </w:p>
    <w:p w14:paraId="3747B126" w14:textId="77777777" w:rsidR="00775C58" w:rsidRPr="00775C58" w:rsidRDefault="00775C58" w:rsidP="00594153">
      <w:pPr>
        <w:jc w:val="both"/>
        <w:rPr>
          <w:rFonts w:ascii="Gotham" w:hAnsi="Gotham"/>
        </w:rPr>
      </w:pPr>
      <w:r w:rsidRPr="00775C58">
        <w:rPr>
          <w:rFonts w:ascii="Gotham" w:hAnsi="Gotham"/>
          <w:b/>
          <w:bCs/>
          <w:u w:val="single"/>
        </w:rPr>
        <w:t>MONTANT pour calcul de l’indemnité de travail de nuit (après 21 H ou avant 6H)</w:t>
      </w:r>
    </w:p>
    <w:p w14:paraId="5463E2C2" w14:textId="77777777" w:rsidR="00775C58" w:rsidRPr="00775C58" w:rsidRDefault="00775C58" w:rsidP="00594153">
      <w:pPr>
        <w:jc w:val="both"/>
        <w:rPr>
          <w:rFonts w:ascii="Gotham" w:hAnsi="Gotham"/>
        </w:rPr>
      </w:pPr>
      <w:r w:rsidRPr="00775C58">
        <w:rPr>
          <w:rFonts w:ascii="Gotham" w:hAnsi="Gotham"/>
        </w:rPr>
        <w:t>Montant horaire de référence au 1</w:t>
      </w:r>
      <w:r w:rsidRPr="00775C58">
        <w:rPr>
          <w:rFonts w:ascii="Gotham" w:hAnsi="Gotham"/>
          <w:vertAlign w:val="superscript"/>
        </w:rPr>
        <w:t>er</w:t>
      </w:r>
      <w:r w:rsidRPr="00775C58">
        <w:rPr>
          <w:rFonts w:ascii="Gotham" w:hAnsi="Gotham"/>
        </w:rPr>
        <w:t xml:space="preserve"> janvier 2002 (1</w:t>
      </w:r>
      <w:r w:rsidRPr="00775C58">
        <w:rPr>
          <w:rFonts w:ascii="Gotham" w:hAnsi="Gotham"/>
          <w:vertAlign w:val="superscript"/>
        </w:rPr>
        <w:t>er</w:t>
      </w:r>
      <w:r w:rsidRPr="00775C58">
        <w:rPr>
          <w:rFonts w:ascii="Gotham" w:hAnsi="Gotham"/>
        </w:rPr>
        <w:t xml:space="preserve"> juillet 2000 pour la majoration pour travail intensif de la sous-filière médico-sociale) : </w:t>
      </w:r>
      <w:r w:rsidRPr="00775C58">
        <w:rPr>
          <w:rFonts w:ascii="Gotham" w:hAnsi="Gotham"/>
          <w:b/>
          <w:bCs/>
        </w:rPr>
        <w:t>Taux : 0.17 euros par heure.</w:t>
      </w:r>
    </w:p>
    <w:p w14:paraId="16FF1228" w14:textId="77777777" w:rsidR="00775C58" w:rsidRPr="00775C58" w:rsidRDefault="00775C58" w:rsidP="00594153">
      <w:pPr>
        <w:jc w:val="both"/>
        <w:rPr>
          <w:rFonts w:ascii="Gotham" w:hAnsi="Gotham"/>
        </w:rPr>
      </w:pPr>
      <w:r w:rsidRPr="00775C58">
        <w:rPr>
          <w:rFonts w:ascii="Gotham" w:hAnsi="Gotham"/>
        </w:rPr>
        <w:t>Ce montant subit une majoration spéciale pour les agents occupant certaines fonctions lorsqu’un travail intensif est fourni, soit</w:t>
      </w:r>
      <w:proofErr w:type="gramStart"/>
      <w:r w:rsidRPr="00775C58">
        <w:rPr>
          <w:rFonts w:ascii="Gotham" w:hAnsi="Gotham"/>
        </w:rPr>
        <w:t> :</w:t>
      </w:r>
      <w:r w:rsidRPr="00775C58">
        <w:rPr>
          <w:rFonts w:ascii="Gotham" w:hAnsi="Gotham"/>
          <w:b/>
          <w:bCs/>
        </w:rPr>
        <w:t>Taux</w:t>
      </w:r>
      <w:proofErr w:type="gramEnd"/>
      <w:r w:rsidRPr="00775C58">
        <w:rPr>
          <w:rFonts w:ascii="Gotham" w:hAnsi="Gotham"/>
          <w:b/>
          <w:bCs/>
        </w:rPr>
        <w:t> : 0.80 euros par heure.</w:t>
      </w:r>
    </w:p>
    <w:p w14:paraId="52684EAA" w14:textId="77777777" w:rsidR="00775C58" w:rsidRPr="00775C58" w:rsidRDefault="00775C58" w:rsidP="00594153">
      <w:pPr>
        <w:jc w:val="both"/>
        <w:rPr>
          <w:rFonts w:ascii="Gotham" w:hAnsi="Gotham"/>
        </w:rPr>
      </w:pPr>
      <w:r w:rsidRPr="00775C58">
        <w:rPr>
          <w:rFonts w:ascii="Gotham" w:hAnsi="Gotham"/>
        </w:rPr>
        <w:lastRenderedPageBreak/>
        <w:t>Les montants indiqués ci-dessus sont susceptibles d’évolution, selon la réglementation en vigueur.</w:t>
      </w:r>
    </w:p>
    <w:p w14:paraId="1585AD41" w14:textId="003E429F" w:rsidR="008210AA" w:rsidRPr="00594153" w:rsidRDefault="00B12D38" w:rsidP="00594153">
      <w:pPr>
        <w:jc w:val="both"/>
        <w:rPr>
          <w:rFonts w:ascii="Gotham" w:hAnsi="Gotham"/>
        </w:rPr>
      </w:pPr>
      <w:r w:rsidRPr="00594153">
        <w:rPr>
          <w:rFonts w:ascii="Gotham" w:hAnsi="Gotham"/>
        </w:rPr>
        <w:t>Votée à l’unanimité</w:t>
      </w:r>
    </w:p>
    <w:p w14:paraId="237030EB" w14:textId="77777777" w:rsidR="00C6094C" w:rsidRPr="00594153" w:rsidRDefault="00C6094C" w:rsidP="00594153">
      <w:pPr>
        <w:jc w:val="both"/>
        <w:rPr>
          <w:rFonts w:ascii="Gotham" w:hAnsi="Gotham"/>
        </w:rPr>
      </w:pPr>
    </w:p>
    <w:p w14:paraId="110A6F29" w14:textId="25E5FD36" w:rsidR="00C6094C" w:rsidRPr="00594153" w:rsidRDefault="00C6094C" w:rsidP="00594153">
      <w:pPr>
        <w:jc w:val="both"/>
        <w:rPr>
          <w:rFonts w:ascii="Gotham" w:hAnsi="Gotham"/>
          <w:b/>
          <w:bCs/>
        </w:rPr>
      </w:pPr>
      <w:r w:rsidRPr="00594153">
        <w:rPr>
          <w:rFonts w:ascii="Gotham" w:hAnsi="Gotham"/>
          <w:b/>
          <w:bCs/>
        </w:rPr>
        <w:t>ASSURANCES</w:t>
      </w:r>
    </w:p>
    <w:p w14:paraId="59A7A186" w14:textId="23AAA291" w:rsidR="00C6094C" w:rsidRPr="00594153" w:rsidRDefault="00C6094C" w:rsidP="00594153">
      <w:pPr>
        <w:jc w:val="both"/>
        <w:rPr>
          <w:rFonts w:ascii="Gotham" w:hAnsi="Gotham"/>
          <w:b/>
          <w:bCs/>
        </w:rPr>
      </w:pPr>
      <w:r w:rsidRPr="00594153">
        <w:rPr>
          <w:rFonts w:ascii="Gotham" w:hAnsi="Gotham"/>
          <w:b/>
          <w:bCs/>
        </w:rPr>
        <w:t xml:space="preserve">Modification des conditions d’adhésion au contrat d’assurance groupe pour la couverture des risques statutaires souscrit avec le groupement </w:t>
      </w:r>
      <w:proofErr w:type="spellStart"/>
      <w:r w:rsidRPr="00594153">
        <w:rPr>
          <w:rFonts w:ascii="Gotham" w:hAnsi="Gotham"/>
          <w:b/>
          <w:bCs/>
        </w:rPr>
        <w:t>Relyens</w:t>
      </w:r>
      <w:proofErr w:type="spellEnd"/>
      <w:r w:rsidRPr="00594153">
        <w:rPr>
          <w:rFonts w:ascii="Gotham" w:hAnsi="Gotham"/>
          <w:b/>
          <w:bCs/>
        </w:rPr>
        <w:t xml:space="preserve"> / CNP Assurances, pour l’année 2025</w:t>
      </w:r>
    </w:p>
    <w:p w14:paraId="2D669F33" w14:textId="77777777" w:rsidR="00C6094C" w:rsidRPr="00594153" w:rsidRDefault="00C6094C" w:rsidP="00594153">
      <w:pPr>
        <w:jc w:val="both"/>
        <w:rPr>
          <w:rFonts w:ascii="Gotham" w:hAnsi="Gotham"/>
          <w:b/>
          <w:bCs/>
        </w:rPr>
      </w:pPr>
    </w:p>
    <w:p w14:paraId="28E42A9F" w14:textId="77777777" w:rsidR="00C6094C" w:rsidRPr="00C6094C" w:rsidRDefault="00C6094C" w:rsidP="00594153">
      <w:pPr>
        <w:jc w:val="both"/>
        <w:rPr>
          <w:rFonts w:ascii="Gotham" w:hAnsi="Gotham"/>
        </w:rPr>
      </w:pPr>
      <w:r w:rsidRPr="00C6094C">
        <w:rPr>
          <w:rFonts w:ascii="Gotham" w:hAnsi="Gotham"/>
        </w:rPr>
        <w:t xml:space="preserve">Le Centre de Gestion de la fonction publique territoriale de la Savoie a souscrit un contrat d’assurance groupe à adhésion facultative garantissant les risques statutaires des collectivités et établissements publics de la Savoie, à compter du 1er janvier 2022 avec le groupement conjoint </w:t>
      </w:r>
      <w:proofErr w:type="spellStart"/>
      <w:r w:rsidRPr="00C6094C">
        <w:rPr>
          <w:rFonts w:ascii="Gotham" w:hAnsi="Gotham"/>
        </w:rPr>
        <w:t>Relyens</w:t>
      </w:r>
      <w:proofErr w:type="spellEnd"/>
      <w:r w:rsidRPr="00C6094C">
        <w:rPr>
          <w:rFonts w:ascii="Gotham" w:hAnsi="Gotham"/>
        </w:rPr>
        <w:t xml:space="preserve"> / CNP Assurances pour une durée de quatre ans.</w:t>
      </w:r>
    </w:p>
    <w:p w14:paraId="5443D946" w14:textId="77777777" w:rsidR="00C6094C" w:rsidRPr="00C6094C" w:rsidRDefault="00C6094C" w:rsidP="00594153">
      <w:pPr>
        <w:jc w:val="both"/>
        <w:rPr>
          <w:rFonts w:ascii="Gotham" w:hAnsi="Gotham"/>
        </w:rPr>
      </w:pPr>
      <w:proofErr w:type="gramStart"/>
      <w:r w:rsidRPr="00C6094C">
        <w:rPr>
          <w:rFonts w:ascii="Gotham" w:hAnsi="Gotham"/>
        </w:rPr>
        <w:t>par</w:t>
      </w:r>
      <w:proofErr w:type="gramEnd"/>
      <w:r w:rsidRPr="00C6094C">
        <w:rPr>
          <w:rFonts w:ascii="Gotham" w:hAnsi="Gotham"/>
        </w:rPr>
        <w:t xml:space="preserve"> délibération du 1</w:t>
      </w:r>
      <w:r w:rsidRPr="00C6094C">
        <w:rPr>
          <w:rFonts w:ascii="Gotham" w:hAnsi="Gotham"/>
          <w:vertAlign w:val="superscript"/>
        </w:rPr>
        <w:t>er</w:t>
      </w:r>
      <w:r w:rsidRPr="00C6094C">
        <w:rPr>
          <w:rFonts w:ascii="Gotham" w:hAnsi="Gotham"/>
        </w:rPr>
        <w:t xml:space="preserve"> décembre 2021 l’établissement public a adhéré au contrat d’assurance groupe précité</w:t>
      </w:r>
    </w:p>
    <w:p w14:paraId="49F32AA8" w14:textId="77777777" w:rsidR="00C6094C" w:rsidRPr="00C6094C" w:rsidRDefault="00C6094C" w:rsidP="00594153">
      <w:pPr>
        <w:jc w:val="both"/>
        <w:rPr>
          <w:rFonts w:ascii="Gotham" w:hAnsi="Gotham"/>
        </w:rPr>
      </w:pPr>
      <w:proofErr w:type="gramStart"/>
      <w:r w:rsidRPr="00C6094C">
        <w:rPr>
          <w:rFonts w:ascii="Gotham" w:hAnsi="Gotham"/>
          <w:b/>
          <w:bCs/>
        </w:rPr>
        <w:t>par</w:t>
      </w:r>
      <w:proofErr w:type="gramEnd"/>
      <w:r w:rsidRPr="00C6094C">
        <w:rPr>
          <w:rFonts w:ascii="Gotham" w:hAnsi="Gotham"/>
          <w:b/>
          <w:bCs/>
        </w:rPr>
        <w:t xml:space="preserve"> lettre du 24 octobre 2024, le Centre de gestion a informé l’établissement public de l’augmentation des taux de cotisation à hauteur de 9% demandée par l’assureur pour l’année 2025, en raison d’un rapport sinistre à prime défavorable à l’échelle du contrat groupe, du fait d’une augmentation significative de l’absentéisme</w:t>
      </w:r>
    </w:p>
    <w:p w14:paraId="10B8577C" w14:textId="77777777" w:rsidR="00C6094C" w:rsidRPr="00C6094C" w:rsidRDefault="00C6094C" w:rsidP="00594153">
      <w:pPr>
        <w:jc w:val="both"/>
        <w:rPr>
          <w:rFonts w:ascii="Gotham" w:hAnsi="Gotham"/>
        </w:rPr>
      </w:pPr>
      <w:r w:rsidRPr="00C6094C">
        <w:rPr>
          <w:rFonts w:ascii="Gotham" w:hAnsi="Gotham"/>
        </w:rPr>
        <w:t xml:space="preserve">Cette hausse des cotisations n’impactera que la dernière année du contrat en cours pour les </w:t>
      </w:r>
      <w:proofErr w:type="spellStart"/>
      <w:r w:rsidRPr="00C6094C">
        <w:rPr>
          <w:rFonts w:ascii="Gotham" w:hAnsi="Gotham"/>
        </w:rPr>
        <w:t>agetns</w:t>
      </w:r>
      <w:proofErr w:type="spellEnd"/>
      <w:r w:rsidRPr="00C6094C">
        <w:rPr>
          <w:rFonts w:ascii="Gotham" w:hAnsi="Gotham"/>
        </w:rPr>
        <w:t xml:space="preserve"> titulaires ou stagiaires affiliés à la C.N.R.A.C.L ou </w:t>
      </w:r>
      <w:proofErr w:type="spellStart"/>
      <w:r w:rsidRPr="00C6094C">
        <w:rPr>
          <w:rFonts w:ascii="Gotham" w:hAnsi="Gotham"/>
        </w:rPr>
        <w:t>détâchés</w:t>
      </w:r>
      <w:proofErr w:type="spellEnd"/>
      <w:r w:rsidRPr="00C6094C">
        <w:rPr>
          <w:rFonts w:ascii="Gotham" w:hAnsi="Gotham"/>
        </w:rPr>
        <w:t xml:space="preserve"> avec </w:t>
      </w:r>
      <w:proofErr w:type="gramStart"/>
      <w:r w:rsidRPr="00C6094C">
        <w:rPr>
          <w:rFonts w:ascii="Gotham" w:hAnsi="Gotham"/>
        </w:rPr>
        <w:t>une franchise de 30 jours fermes</w:t>
      </w:r>
      <w:proofErr w:type="gramEnd"/>
      <w:r w:rsidRPr="00C6094C">
        <w:rPr>
          <w:rFonts w:ascii="Gotham" w:hAnsi="Gotham"/>
        </w:rPr>
        <w:t xml:space="preserve"> par arrêt en maladie ordinaire : 5,82 % de la masse salariale assurée.</w:t>
      </w:r>
    </w:p>
    <w:p w14:paraId="04173D44" w14:textId="5C615913" w:rsidR="00C6094C" w:rsidRPr="00594153" w:rsidRDefault="00C6094C" w:rsidP="00594153">
      <w:pPr>
        <w:jc w:val="both"/>
        <w:rPr>
          <w:rFonts w:ascii="Gotham" w:hAnsi="Gotham"/>
        </w:rPr>
      </w:pPr>
      <w:r w:rsidRPr="00594153">
        <w:rPr>
          <w:rFonts w:ascii="Gotham" w:hAnsi="Gotham"/>
        </w:rPr>
        <w:t>Le président et les élus réaffirment la nécessité d’a</w:t>
      </w:r>
      <w:r w:rsidR="006974D6" w:rsidRPr="00594153">
        <w:rPr>
          <w:rFonts w:ascii="Gotham" w:hAnsi="Gotham"/>
        </w:rPr>
        <w:t>dhérer à ce contrat.</w:t>
      </w:r>
    </w:p>
    <w:p w14:paraId="1532D5C1" w14:textId="1B6EA460" w:rsidR="006974D6" w:rsidRPr="00594153" w:rsidRDefault="006974D6" w:rsidP="00594153">
      <w:pPr>
        <w:jc w:val="both"/>
        <w:rPr>
          <w:rFonts w:ascii="Gotham" w:hAnsi="Gotham"/>
        </w:rPr>
      </w:pPr>
      <w:r w:rsidRPr="00594153">
        <w:rPr>
          <w:rFonts w:ascii="Gotham" w:hAnsi="Gotham"/>
        </w:rPr>
        <w:t>Votée à l’unanimité.</w:t>
      </w:r>
    </w:p>
    <w:p w14:paraId="110ACF22" w14:textId="77777777" w:rsidR="006974D6" w:rsidRPr="00594153" w:rsidRDefault="006974D6" w:rsidP="00594153">
      <w:pPr>
        <w:jc w:val="both"/>
        <w:rPr>
          <w:rFonts w:ascii="Gotham" w:hAnsi="Gotham"/>
        </w:rPr>
      </w:pPr>
    </w:p>
    <w:p w14:paraId="64484356" w14:textId="5A4DDE71" w:rsidR="006974D6" w:rsidRPr="00594153" w:rsidRDefault="006974D6" w:rsidP="00594153">
      <w:pPr>
        <w:jc w:val="both"/>
        <w:rPr>
          <w:rFonts w:ascii="Gotham" w:hAnsi="Gotham"/>
          <w:b/>
          <w:bCs/>
        </w:rPr>
      </w:pPr>
      <w:r w:rsidRPr="00594153">
        <w:rPr>
          <w:rFonts w:ascii="Gotham" w:hAnsi="Gotham"/>
          <w:b/>
          <w:bCs/>
        </w:rPr>
        <w:t>Informations diverses</w:t>
      </w:r>
      <w:r w:rsidRPr="00594153">
        <w:rPr>
          <w:rFonts w:ascii="Gotham" w:hAnsi="Gotham"/>
          <w:b/>
          <w:bCs/>
        </w:rPr>
        <w:t> :</w:t>
      </w:r>
    </w:p>
    <w:p w14:paraId="6A8C2E79" w14:textId="6619D8A3" w:rsidR="006974D6" w:rsidRPr="00594153" w:rsidRDefault="006974D6" w:rsidP="00594153">
      <w:pPr>
        <w:jc w:val="both"/>
        <w:rPr>
          <w:rFonts w:ascii="Gotham" w:hAnsi="Gotham"/>
        </w:rPr>
      </w:pPr>
      <w:r w:rsidRPr="00594153">
        <w:rPr>
          <w:rFonts w:ascii="Gotham" w:hAnsi="Gotham"/>
        </w:rPr>
        <w:t xml:space="preserve">Les flyers du </w:t>
      </w:r>
      <w:r w:rsidRPr="00294791">
        <w:rPr>
          <w:rFonts w:ascii="Gotham" w:hAnsi="Gotham"/>
          <w:b/>
          <w:bCs/>
        </w:rPr>
        <w:t>Festival « Tout l’amour ?!... »</w:t>
      </w:r>
      <w:r w:rsidRPr="00594153">
        <w:rPr>
          <w:rFonts w:ascii="Gotham" w:hAnsi="Gotham"/>
        </w:rPr>
        <w:t xml:space="preserve"> </w:t>
      </w:r>
      <w:proofErr w:type="gramStart"/>
      <w:r w:rsidRPr="00594153">
        <w:rPr>
          <w:rFonts w:ascii="Gotham" w:hAnsi="Gotham"/>
        </w:rPr>
        <w:t>seront</w:t>
      </w:r>
      <w:proofErr w:type="gramEnd"/>
      <w:r w:rsidRPr="00594153">
        <w:rPr>
          <w:rFonts w:ascii="Gotham" w:hAnsi="Gotham"/>
        </w:rPr>
        <w:t xml:space="preserve"> à distribuer par boîtage dès la semaine prochaines.</w:t>
      </w:r>
    </w:p>
    <w:p w14:paraId="349218BC" w14:textId="1DBB1DEA" w:rsidR="002A6207" w:rsidRPr="00594153" w:rsidRDefault="002A6207" w:rsidP="00594153">
      <w:pPr>
        <w:jc w:val="both"/>
        <w:rPr>
          <w:rFonts w:ascii="Gotham" w:hAnsi="Gotham"/>
        </w:rPr>
      </w:pPr>
      <w:r w:rsidRPr="00594153">
        <w:rPr>
          <w:rFonts w:ascii="Gotham" w:hAnsi="Gotham"/>
        </w:rPr>
        <w:t>Echange sur l’organisation du Concert / Bal prévu à Chindrieux.</w:t>
      </w:r>
    </w:p>
    <w:p w14:paraId="188A7218" w14:textId="55256D5C" w:rsidR="002A6207" w:rsidRPr="00594153" w:rsidRDefault="002A6207" w:rsidP="00594153">
      <w:pPr>
        <w:jc w:val="both"/>
        <w:rPr>
          <w:rFonts w:ascii="Gotham" w:hAnsi="Gotham"/>
        </w:rPr>
      </w:pPr>
      <w:r w:rsidRPr="00594153">
        <w:rPr>
          <w:rFonts w:ascii="Gotham" w:hAnsi="Gotham"/>
        </w:rPr>
        <w:t xml:space="preserve">La </w:t>
      </w:r>
      <w:r w:rsidRPr="00294791">
        <w:rPr>
          <w:rFonts w:ascii="Gotham" w:hAnsi="Gotham"/>
          <w:b/>
          <w:bCs/>
        </w:rPr>
        <w:t>vigne pédagogique</w:t>
      </w:r>
      <w:r w:rsidRPr="00594153">
        <w:rPr>
          <w:rFonts w:ascii="Gotham" w:hAnsi="Gotham"/>
        </w:rPr>
        <w:t xml:space="preserve"> est </w:t>
      </w:r>
      <w:r w:rsidR="00594153" w:rsidRPr="00594153">
        <w:rPr>
          <w:rFonts w:ascii="Gotham" w:hAnsi="Gotham"/>
        </w:rPr>
        <w:t>en cours de réalisation, le piquetage et les premiers travaux de travail de la terre ont été faits.</w:t>
      </w:r>
    </w:p>
    <w:p w14:paraId="399D67CF" w14:textId="5E4AE697" w:rsidR="00594153" w:rsidRDefault="00594153" w:rsidP="00594153">
      <w:pPr>
        <w:jc w:val="both"/>
        <w:rPr>
          <w:rFonts w:ascii="Gotham" w:hAnsi="Gotham"/>
        </w:rPr>
      </w:pPr>
      <w:r w:rsidRPr="00594153">
        <w:rPr>
          <w:rFonts w:ascii="Gotham" w:hAnsi="Gotham"/>
        </w:rPr>
        <w:t xml:space="preserve">Nous allons rencontrer le syndicat des Vins de Chautagne pour programmer la plantation en </w:t>
      </w:r>
      <w:proofErr w:type="gramStart"/>
      <w:r w:rsidRPr="00594153">
        <w:rPr>
          <w:rFonts w:ascii="Gotham" w:hAnsi="Gotham"/>
        </w:rPr>
        <w:t>Mars</w:t>
      </w:r>
      <w:proofErr w:type="gramEnd"/>
      <w:r w:rsidRPr="00594153">
        <w:rPr>
          <w:rFonts w:ascii="Gotham" w:hAnsi="Gotham"/>
        </w:rPr>
        <w:t>, selon météo et risque de gel.</w:t>
      </w:r>
    </w:p>
    <w:p w14:paraId="5D3E2F15" w14:textId="77777777" w:rsidR="00594153" w:rsidRDefault="00594153" w:rsidP="00594153">
      <w:pPr>
        <w:jc w:val="both"/>
        <w:rPr>
          <w:rFonts w:ascii="Gotham" w:hAnsi="Gotham"/>
        </w:rPr>
      </w:pPr>
    </w:p>
    <w:p w14:paraId="14604030" w14:textId="405E2BE3" w:rsidR="00594153" w:rsidRPr="00594153" w:rsidRDefault="00594153" w:rsidP="00594153">
      <w:pPr>
        <w:jc w:val="both"/>
        <w:rPr>
          <w:rFonts w:ascii="Gotham" w:hAnsi="Gotham"/>
        </w:rPr>
      </w:pPr>
      <w:r>
        <w:rPr>
          <w:rFonts w:ascii="Gotham" w:hAnsi="Gotham"/>
        </w:rPr>
        <w:t>Levée de séance : 21H</w:t>
      </w:r>
    </w:p>
    <w:sectPr w:rsidR="00594153" w:rsidRPr="00594153" w:rsidSect="00F41B8A">
      <w:pgSz w:w="11906" w:h="17338"/>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w:panose1 w:val="02000504050000020004"/>
    <w:charset w:val="00"/>
    <w:family w:val="auto"/>
    <w:pitch w:val="variable"/>
    <w:sig w:usb0="800000A7" w:usb1="00000000" w:usb2="00000000" w:usb3="00000000" w:csb0="00000009"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9B8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2331B"/>
    <w:multiLevelType w:val="hybridMultilevel"/>
    <w:tmpl w:val="0BBA1E06"/>
    <w:lvl w:ilvl="0" w:tplc="AFD0579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9909D1"/>
    <w:multiLevelType w:val="hybridMultilevel"/>
    <w:tmpl w:val="8D2436FA"/>
    <w:lvl w:ilvl="0" w:tplc="801643B0">
      <w:start w:val="1"/>
      <w:numFmt w:val="bullet"/>
      <w:lvlText w:val="-"/>
      <w:lvlJc w:val="left"/>
      <w:pPr>
        <w:tabs>
          <w:tab w:val="num" w:pos="720"/>
        </w:tabs>
        <w:ind w:left="720" w:hanging="360"/>
      </w:pPr>
      <w:rPr>
        <w:rFonts w:ascii="Gotham" w:hAnsi="Gotham" w:hint="default"/>
      </w:rPr>
    </w:lvl>
    <w:lvl w:ilvl="1" w:tplc="4C18C27C" w:tentative="1">
      <w:start w:val="1"/>
      <w:numFmt w:val="bullet"/>
      <w:lvlText w:val="-"/>
      <w:lvlJc w:val="left"/>
      <w:pPr>
        <w:tabs>
          <w:tab w:val="num" w:pos="1440"/>
        </w:tabs>
        <w:ind w:left="1440" w:hanging="360"/>
      </w:pPr>
      <w:rPr>
        <w:rFonts w:ascii="Gotham" w:hAnsi="Gotham" w:hint="default"/>
      </w:rPr>
    </w:lvl>
    <w:lvl w:ilvl="2" w:tplc="C8003662" w:tentative="1">
      <w:start w:val="1"/>
      <w:numFmt w:val="bullet"/>
      <w:lvlText w:val="-"/>
      <w:lvlJc w:val="left"/>
      <w:pPr>
        <w:tabs>
          <w:tab w:val="num" w:pos="2160"/>
        </w:tabs>
        <w:ind w:left="2160" w:hanging="360"/>
      </w:pPr>
      <w:rPr>
        <w:rFonts w:ascii="Gotham" w:hAnsi="Gotham" w:hint="default"/>
      </w:rPr>
    </w:lvl>
    <w:lvl w:ilvl="3" w:tplc="CB26EAAE" w:tentative="1">
      <w:start w:val="1"/>
      <w:numFmt w:val="bullet"/>
      <w:lvlText w:val="-"/>
      <w:lvlJc w:val="left"/>
      <w:pPr>
        <w:tabs>
          <w:tab w:val="num" w:pos="2880"/>
        </w:tabs>
        <w:ind w:left="2880" w:hanging="360"/>
      </w:pPr>
      <w:rPr>
        <w:rFonts w:ascii="Gotham" w:hAnsi="Gotham" w:hint="default"/>
      </w:rPr>
    </w:lvl>
    <w:lvl w:ilvl="4" w:tplc="C6E6F794" w:tentative="1">
      <w:start w:val="1"/>
      <w:numFmt w:val="bullet"/>
      <w:lvlText w:val="-"/>
      <w:lvlJc w:val="left"/>
      <w:pPr>
        <w:tabs>
          <w:tab w:val="num" w:pos="3600"/>
        </w:tabs>
        <w:ind w:left="3600" w:hanging="360"/>
      </w:pPr>
      <w:rPr>
        <w:rFonts w:ascii="Gotham" w:hAnsi="Gotham" w:hint="default"/>
      </w:rPr>
    </w:lvl>
    <w:lvl w:ilvl="5" w:tplc="93E2C1BE" w:tentative="1">
      <w:start w:val="1"/>
      <w:numFmt w:val="bullet"/>
      <w:lvlText w:val="-"/>
      <w:lvlJc w:val="left"/>
      <w:pPr>
        <w:tabs>
          <w:tab w:val="num" w:pos="4320"/>
        </w:tabs>
        <w:ind w:left="4320" w:hanging="360"/>
      </w:pPr>
      <w:rPr>
        <w:rFonts w:ascii="Gotham" w:hAnsi="Gotham" w:hint="default"/>
      </w:rPr>
    </w:lvl>
    <w:lvl w:ilvl="6" w:tplc="4E0EFF92" w:tentative="1">
      <w:start w:val="1"/>
      <w:numFmt w:val="bullet"/>
      <w:lvlText w:val="-"/>
      <w:lvlJc w:val="left"/>
      <w:pPr>
        <w:tabs>
          <w:tab w:val="num" w:pos="5040"/>
        </w:tabs>
        <w:ind w:left="5040" w:hanging="360"/>
      </w:pPr>
      <w:rPr>
        <w:rFonts w:ascii="Gotham" w:hAnsi="Gotham" w:hint="default"/>
      </w:rPr>
    </w:lvl>
    <w:lvl w:ilvl="7" w:tplc="3AC05530" w:tentative="1">
      <w:start w:val="1"/>
      <w:numFmt w:val="bullet"/>
      <w:lvlText w:val="-"/>
      <w:lvlJc w:val="left"/>
      <w:pPr>
        <w:tabs>
          <w:tab w:val="num" w:pos="5760"/>
        </w:tabs>
        <w:ind w:left="5760" w:hanging="360"/>
      </w:pPr>
      <w:rPr>
        <w:rFonts w:ascii="Gotham" w:hAnsi="Gotham" w:hint="default"/>
      </w:rPr>
    </w:lvl>
    <w:lvl w:ilvl="8" w:tplc="7298959E" w:tentative="1">
      <w:start w:val="1"/>
      <w:numFmt w:val="bullet"/>
      <w:lvlText w:val="-"/>
      <w:lvlJc w:val="left"/>
      <w:pPr>
        <w:tabs>
          <w:tab w:val="num" w:pos="6480"/>
        </w:tabs>
        <w:ind w:left="6480" w:hanging="360"/>
      </w:pPr>
      <w:rPr>
        <w:rFonts w:ascii="Gotham" w:hAnsi="Gotham" w:hint="default"/>
      </w:rPr>
    </w:lvl>
  </w:abstractNum>
  <w:num w:numId="1" w16cid:durableId="114175431">
    <w:abstractNumId w:val="0"/>
  </w:num>
  <w:num w:numId="2" w16cid:durableId="751390540">
    <w:abstractNumId w:val="1"/>
  </w:num>
  <w:num w:numId="3" w16cid:durableId="786510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DD"/>
    <w:rsid w:val="00014EF4"/>
    <w:rsid w:val="0001510E"/>
    <w:rsid w:val="00035256"/>
    <w:rsid w:val="00071D3E"/>
    <w:rsid w:val="000A1DFE"/>
    <w:rsid w:val="000D273D"/>
    <w:rsid w:val="000D6EA2"/>
    <w:rsid w:val="00140895"/>
    <w:rsid w:val="00143316"/>
    <w:rsid w:val="00157EA8"/>
    <w:rsid w:val="0017450C"/>
    <w:rsid w:val="0019400F"/>
    <w:rsid w:val="001D6422"/>
    <w:rsid w:val="001E4565"/>
    <w:rsid w:val="00225340"/>
    <w:rsid w:val="00243EDE"/>
    <w:rsid w:val="0026499A"/>
    <w:rsid w:val="00294791"/>
    <w:rsid w:val="002A2E47"/>
    <w:rsid w:val="002A6207"/>
    <w:rsid w:val="002F67E4"/>
    <w:rsid w:val="0034467E"/>
    <w:rsid w:val="00365998"/>
    <w:rsid w:val="004036D1"/>
    <w:rsid w:val="0043108D"/>
    <w:rsid w:val="00436782"/>
    <w:rsid w:val="004636AF"/>
    <w:rsid w:val="00471FE5"/>
    <w:rsid w:val="00502949"/>
    <w:rsid w:val="0053404D"/>
    <w:rsid w:val="005507A6"/>
    <w:rsid w:val="00554CFE"/>
    <w:rsid w:val="00594153"/>
    <w:rsid w:val="0059464D"/>
    <w:rsid w:val="005A330A"/>
    <w:rsid w:val="006475FD"/>
    <w:rsid w:val="00666B2E"/>
    <w:rsid w:val="006974D6"/>
    <w:rsid w:val="006D46FB"/>
    <w:rsid w:val="00700FF6"/>
    <w:rsid w:val="00740D05"/>
    <w:rsid w:val="0077426E"/>
    <w:rsid w:val="00775C58"/>
    <w:rsid w:val="00795895"/>
    <w:rsid w:val="007B6996"/>
    <w:rsid w:val="008210AA"/>
    <w:rsid w:val="008A3269"/>
    <w:rsid w:val="008B7968"/>
    <w:rsid w:val="008C2853"/>
    <w:rsid w:val="00913959"/>
    <w:rsid w:val="009156D8"/>
    <w:rsid w:val="009567F0"/>
    <w:rsid w:val="00956DB9"/>
    <w:rsid w:val="00976855"/>
    <w:rsid w:val="009B3C52"/>
    <w:rsid w:val="009E0852"/>
    <w:rsid w:val="00A16AA1"/>
    <w:rsid w:val="00A35C4A"/>
    <w:rsid w:val="00A602F7"/>
    <w:rsid w:val="00A743A3"/>
    <w:rsid w:val="00AF4188"/>
    <w:rsid w:val="00B12856"/>
    <w:rsid w:val="00B12D38"/>
    <w:rsid w:val="00B346ED"/>
    <w:rsid w:val="00B510B6"/>
    <w:rsid w:val="00B77303"/>
    <w:rsid w:val="00BE6F84"/>
    <w:rsid w:val="00C226DD"/>
    <w:rsid w:val="00C6094C"/>
    <w:rsid w:val="00CB5C2C"/>
    <w:rsid w:val="00CD0523"/>
    <w:rsid w:val="00D06BFB"/>
    <w:rsid w:val="00D91962"/>
    <w:rsid w:val="00DB3542"/>
    <w:rsid w:val="00E146A0"/>
    <w:rsid w:val="00E15F68"/>
    <w:rsid w:val="00E817F3"/>
    <w:rsid w:val="00EA011F"/>
    <w:rsid w:val="00EC3309"/>
    <w:rsid w:val="00F3212E"/>
    <w:rsid w:val="00F41B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457753"/>
  <w15:chartTrackingRefBased/>
  <w15:docId w15:val="{11B710B3-FB91-4A5C-BFBC-E6C13A50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2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22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226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226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26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26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26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26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26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26D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226D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226D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226D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26D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26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26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26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26DD"/>
    <w:rPr>
      <w:rFonts w:eastAsiaTheme="majorEastAsia" w:cstheme="majorBidi"/>
      <w:color w:val="272727" w:themeColor="text1" w:themeTint="D8"/>
    </w:rPr>
  </w:style>
  <w:style w:type="paragraph" w:styleId="Titre">
    <w:name w:val="Title"/>
    <w:basedOn w:val="Normal"/>
    <w:next w:val="Normal"/>
    <w:link w:val="TitreCar"/>
    <w:uiPriority w:val="10"/>
    <w:qFormat/>
    <w:rsid w:val="00C22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26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26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26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26DD"/>
    <w:pPr>
      <w:spacing w:before="160"/>
      <w:jc w:val="center"/>
    </w:pPr>
    <w:rPr>
      <w:i/>
      <w:iCs/>
      <w:color w:val="404040" w:themeColor="text1" w:themeTint="BF"/>
    </w:rPr>
  </w:style>
  <w:style w:type="character" w:customStyle="1" w:styleId="CitationCar">
    <w:name w:val="Citation Car"/>
    <w:basedOn w:val="Policepardfaut"/>
    <w:link w:val="Citation"/>
    <w:uiPriority w:val="29"/>
    <w:rsid w:val="00C226DD"/>
    <w:rPr>
      <w:i/>
      <w:iCs/>
      <w:color w:val="404040" w:themeColor="text1" w:themeTint="BF"/>
    </w:rPr>
  </w:style>
  <w:style w:type="paragraph" w:styleId="Paragraphedeliste">
    <w:name w:val="List Paragraph"/>
    <w:basedOn w:val="Normal"/>
    <w:uiPriority w:val="34"/>
    <w:qFormat/>
    <w:rsid w:val="00C226DD"/>
    <w:pPr>
      <w:ind w:left="720"/>
      <w:contextualSpacing/>
    </w:pPr>
  </w:style>
  <w:style w:type="character" w:styleId="Accentuationintense">
    <w:name w:val="Intense Emphasis"/>
    <w:basedOn w:val="Policepardfaut"/>
    <w:uiPriority w:val="21"/>
    <w:qFormat/>
    <w:rsid w:val="00C226DD"/>
    <w:rPr>
      <w:i/>
      <w:iCs/>
      <w:color w:val="0F4761" w:themeColor="accent1" w:themeShade="BF"/>
    </w:rPr>
  </w:style>
  <w:style w:type="paragraph" w:styleId="Citationintense">
    <w:name w:val="Intense Quote"/>
    <w:basedOn w:val="Normal"/>
    <w:next w:val="Normal"/>
    <w:link w:val="CitationintenseCar"/>
    <w:uiPriority w:val="30"/>
    <w:qFormat/>
    <w:rsid w:val="00C22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26DD"/>
    <w:rPr>
      <w:i/>
      <w:iCs/>
      <w:color w:val="0F4761" w:themeColor="accent1" w:themeShade="BF"/>
    </w:rPr>
  </w:style>
  <w:style w:type="character" w:styleId="Rfrenceintense">
    <w:name w:val="Intense Reference"/>
    <w:basedOn w:val="Policepardfaut"/>
    <w:uiPriority w:val="32"/>
    <w:qFormat/>
    <w:rsid w:val="00C226DD"/>
    <w:rPr>
      <w:b/>
      <w:bCs/>
      <w:smallCaps/>
      <w:color w:val="0F4761" w:themeColor="accent1" w:themeShade="BF"/>
      <w:spacing w:val="5"/>
    </w:rPr>
  </w:style>
  <w:style w:type="paragraph" w:styleId="NormalWeb">
    <w:name w:val="Normal (Web)"/>
    <w:basedOn w:val="Normal"/>
    <w:uiPriority w:val="99"/>
    <w:semiHidden/>
    <w:unhideWhenUsed/>
    <w:rsid w:val="00A16AA1"/>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5191">
      <w:bodyDiv w:val="1"/>
      <w:marLeft w:val="0"/>
      <w:marRight w:val="0"/>
      <w:marTop w:val="0"/>
      <w:marBottom w:val="0"/>
      <w:divBdr>
        <w:top w:val="none" w:sz="0" w:space="0" w:color="auto"/>
        <w:left w:val="none" w:sz="0" w:space="0" w:color="auto"/>
        <w:bottom w:val="none" w:sz="0" w:space="0" w:color="auto"/>
        <w:right w:val="none" w:sz="0" w:space="0" w:color="auto"/>
      </w:divBdr>
    </w:div>
    <w:div w:id="338392504">
      <w:bodyDiv w:val="1"/>
      <w:marLeft w:val="0"/>
      <w:marRight w:val="0"/>
      <w:marTop w:val="0"/>
      <w:marBottom w:val="0"/>
      <w:divBdr>
        <w:top w:val="none" w:sz="0" w:space="0" w:color="auto"/>
        <w:left w:val="none" w:sz="0" w:space="0" w:color="auto"/>
        <w:bottom w:val="none" w:sz="0" w:space="0" w:color="auto"/>
        <w:right w:val="none" w:sz="0" w:space="0" w:color="auto"/>
      </w:divBdr>
    </w:div>
    <w:div w:id="402685862">
      <w:bodyDiv w:val="1"/>
      <w:marLeft w:val="0"/>
      <w:marRight w:val="0"/>
      <w:marTop w:val="0"/>
      <w:marBottom w:val="0"/>
      <w:divBdr>
        <w:top w:val="none" w:sz="0" w:space="0" w:color="auto"/>
        <w:left w:val="none" w:sz="0" w:space="0" w:color="auto"/>
        <w:bottom w:val="none" w:sz="0" w:space="0" w:color="auto"/>
        <w:right w:val="none" w:sz="0" w:space="0" w:color="auto"/>
      </w:divBdr>
    </w:div>
    <w:div w:id="416097259">
      <w:bodyDiv w:val="1"/>
      <w:marLeft w:val="0"/>
      <w:marRight w:val="0"/>
      <w:marTop w:val="0"/>
      <w:marBottom w:val="0"/>
      <w:divBdr>
        <w:top w:val="none" w:sz="0" w:space="0" w:color="auto"/>
        <w:left w:val="none" w:sz="0" w:space="0" w:color="auto"/>
        <w:bottom w:val="none" w:sz="0" w:space="0" w:color="auto"/>
        <w:right w:val="none" w:sz="0" w:space="0" w:color="auto"/>
      </w:divBdr>
    </w:div>
    <w:div w:id="514156373">
      <w:bodyDiv w:val="1"/>
      <w:marLeft w:val="0"/>
      <w:marRight w:val="0"/>
      <w:marTop w:val="0"/>
      <w:marBottom w:val="0"/>
      <w:divBdr>
        <w:top w:val="none" w:sz="0" w:space="0" w:color="auto"/>
        <w:left w:val="none" w:sz="0" w:space="0" w:color="auto"/>
        <w:bottom w:val="none" w:sz="0" w:space="0" w:color="auto"/>
        <w:right w:val="none" w:sz="0" w:space="0" w:color="auto"/>
      </w:divBdr>
    </w:div>
    <w:div w:id="526986957">
      <w:bodyDiv w:val="1"/>
      <w:marLeft w:val="0"/>
      <w:marRight w:val="0"/>
      <w:marTop w:val="0"/>
      <w:marBottom w:val="0"/>
      <w:divBdr>
        <w:top w:val="none" w:sz="0" w:space="0" w:color="auto"/>
        <w:left w:val="none" w:sz="0" w:space="0" w:color="auto"/>
        <w:bottom w:val="none" w:sz="0" w:space="0" w:color="auto"/>
        <w:right w:val="none" w:sz="0" w:space="0" w:color="auto"/>
      </w:divBdr>
    </w:div>
    <w:div w:id="547494860">
      <w:bodyDiv w:val="1"/>
      <w:marLeft w:val="0"/>
      <w:marRight w:val="0"/>
      <w:marTop w:val="0"/>
      <w:marBottom w:val="0"/>
      <w:divBdr>
        <w:top w:val="none" w:sz="0" w:space="0" w:color="auto"/>
        <w:left w:val="none" w:sz="0" w:space="0" w:color="auto"/>
        <w:bottom w:val="none" w:sz="0" w:space="0" w:color="auto"/>
        <w:right w:val="none" w:sz="0" w:space="0" w:color="auto"/>
      </w:divBdr>
    </w:div>
    <w:div w:id="581918273">
      <w:bodyDiv w:val="1"/>
      <w:marLeft w:val="0"/>
      <w:marRight w:val="0"/>
      <w:marTop w:val="0"/>
      <w:marBottom w:val="0"/>
      <w:divBdr>
        <w:top w:val="none" w:sz="0" w:space="0" w:color="auto"/>
        <w:left w:val="none" w:sz="0" w:space="0" w:color="auto"/>
        <w:bottom w:val="none" w:sz="0" w:space="0" w:color="auto"/>
        <w:right w:val="none" w:sz="0" w:space="0" w:color="auto"/>
      </w:divBdr>
      <w:divsChild>
        <w:div w:id="714235232">
          <w:marLeft w:val="547"/>
          <w:marRight w:val="0"/>
          <w:marTop w:val="200"/>
          <w:marBottom w:val="0"/>
          <w:divBdr>
            <w:top w:val="none" w:sz="0" w:space="0" w:color="auto"/>
            <w:left w:val="none" w:sz="0" w:space="0" w:color="auto"/>
            <w:bottom w:val="none" w:sz="0" w:space="0" w:color="auto"/>
            <w:right w:val="none" w:sz="0" w:space="0" w:color="auto"/>
          </w:divBdr>
        </w:div>
        <w:div w:id="641158604">
          <w:marLeft w:val="547"/>
          <w:marRight w:val="0"/>
          <w:marTop w:val="200"/>
          <w:marBottom w:val="0"/>
          <w:divBdr>
            <w:top w:val="none" w:sz="0" w:space="0" w:color="auto"/>
            <w:left w:val="none" w:sz="0" w:space="0" w:color="auto"/>
            <w:bottom w:val="none" w:sz="0" w:space="0" w:color="auto"/>
            <w:right w:val="none" w:sz="0" w:space="0" w:color="auto"/>
          </w:divBdr>
        </w:div>
      </w:divsChild>
    </w:div>
    <w:div w:id="672683647">
      <w:bodyDiv w:val="1"/>
      <w:marLeft w:val="0"/>
      <w:marRight w:val="0"/>
      <w:marTop w:val="0"/>
      <w:marBottom w:val="0"/>
      <w:divBdr>
        <w:top w:val="none" w:sz="0" w:space="0" w:color="auto"/>
        <w:left w:val="none" w:sz="0" w:space="0" w:color="auto"/>
        <w:bottom w:val="none" w:sz="0" w:space="0" w:color="auto"/>
        <w:right w:val="none" w:sz="0" w:space="0" w:color="auto"/>
      </w:divBdr>
    </w:div>
    <w:div w:id="866335699">
      <w:bodyDiv w:val="1"/>
      <w:marLeft w:val="0"/>
      <w:marRight w:val="0"/>
      <w:marTop w:val="0"/>
      <w:marBottom w:val="0"/>
      <w:divBdr>
        <w:top w:val="none" w:sz="0" w:space="0" w:color="auto"/>
        <w:left w:val="none" w:sz="0" w:space="0" w:color="auto"/>
        <w:bottom w:val="none" w:sz="0" w:space="0" w:color="auto"/>
        <w:right w:val="none" w:sz="0" w:space="0" w:color="auto"/>
      </w:divBdr>
    </w:div>
    <w:div w:id="872576277">
      <w:bodyDiv w:val="1"/>
      <w:marLeft w:val="0"/>
      <w:marRight w:val="0"/>
      <w:marTop w:val="0"/>
      <w:marBottom w:val="0"/>
      <w:divBdr>
        <w:top w:val="none" w:sz="0" w:space="0" w:color="auto"/>
        <w:left w:val="none" w:sz="0" w:space="0" w:color="auto"/>
        <w:bottom w:val="none" w:sz="0" w:space="0" w:color="auto"/>
        <w:right w:val="none" w:sz="0" w:space="0" w:color="auto"/>
      </w:divBdr>
    </w:div>
    <w:div w:id="881746476">
      <w:bodyDiv w:val="1"/>
      <w:marLeft w:val="0"/>
      <w:marRight w:val="0"/>
      <w:marTop w:val="0"/>
      <w:marBottom w:val="0"/>
      <w:divBdr>
        <w:top w:val="none" w:sz="0" w:space="0" w:color="auto"/>
        <w:left w:val="none" w:sz="0" w:space="0" w:color="auto"/>
        <w:bottom w:val="none" w:sz="0" w:space="0" w:color="auto"/>
        <w:right w:val="none" w:sz="0" w:space="0" w:color="auto"/>
      </w:divBdr>
    </w:div>
    <w:div w:id="1271858594">
      <w:bodyDiv w:val="1"/>
      <w:marLeft w:val="0"/>
      <w:marRight w:val="0"/>
      <w:marTop w:val="0"/>
      <w:marBottom w:val="0"/>
      <w:divBdr>
        <w:top w:val="none" w:sz="0" w:space="0" w:color="auto"/>
        <w:left w:val="none" w:sz="0" w:space="0" w:color="auto"/>
        <w:bottom w:val="none" w:sz="0" w:space="0" w:color="auto"/>
        <w:right w:val="none" w:sz="0" w:space="0" w:color="auto"/>
      </w:divBdr>
    </w:div>
    <w:div w:id="1272858674">
      <w:bodyDiv w:val="1"/>
      <w:marLeft w:val="0"/>
      <w:marRight w:val="0"/>
      <w:marTop w:val="0"/>
      <w:marBottom w:val="0"/>
      <w:divBdr>
        <w:top w:val="none" w:sz="0" w:space="0" w:color="auto"/>
        <w:left w:val="none" w:sz="0" w:space="0" w:color="auto"/>
        <w:bottom w:val="none" w:sz="0" w:space="0" w:color="auto"/>
        <w:right w:val="none" w:sz="0" w:space="0" w:color="auto"/>
      </w:divBdr>
    </w:div>
    <w:div w:id="1290092035">
      <w:bodyDiv w:val="1"/>
      <w:marLeft w:val="0"/>
      <w:marRight w:val="0"/>
      <w:marTop w:val="0"/>
      <w:marBottom w:val="0"/>
      <w:divBdr>
        <w:top w:val="none" w:sz="0" w:space="0" w:color="auto"/>
        <w:left w:val="none" w:sz="0" w:space="0" w:color="auto"/>
        <w:bottom w:val="none" w:sz="0" w:space="0" w:color="auto"/>
        <w:right w:val="none" w:sz="0" w:space="0" w:color="auto"/>
      </w:divBdr>
    </w:div>
    <w:div w:id="1470903740">
      <w:bodyDiv w:val="1"/>
      <w:marLeft w:val="0"/>
      <w:marRight w:val="0"/>
      <w:marTop w:val="0"/>
      <w:marBottom w:val="0"/>
      <w:divBdr>
        <w:top w:val="none" w:sz="0" w:space="0" w:color="auto"/>
        <w:left w:val="none" w:sz="0" w:space="0" w:color="auto"/>
        <w:bottom w:val="none" w:sz="0" w:space="0" w:color="auto"/>
        <w:right w:val="none" w:sz="0" w:space="0" w:color="auto"/>
      </w:divBdr>
    </w:div>
    <w:div w:id="1477407076">
      <w:bodyDiv w:val="1"/>
      <w:marLeft w:val="0"/>
      <w:marRight w:val="0"/>
      <w:marTop w:val="0"/>
      <w:marBottom w:val="0"/>
      <w:divBdr>
        <w:top w:val="none" w:sz="0" w:space="0" w:color="auto"/>
        <w:left w:val="none" w:sz="0" w:space="0" w:color="auto"/>
        <w:bottom w:val="none" w:sz="0" w:space="0" w:color="auto"/>
        <w:right w:val="none" w:sz="0" w:space="0" w:color="auto"/>
      </w:divBdr>
    </w:div>
    <w:div w:id="1501694936">
      <w:bodyDiv w:val="1"/>
      <w:marLeft w:val="0"/>
      <w:marRight w:val="0"/>
      <w:marTop w:val="0"/>
      <w:marBottom w:val="0"/>
      <w:divBdr>
        <w:top w:val="none" w:sz="0" w:space="0" w:color="auto"/>
        <w:left w:val="none" w:sz="0" w:space="0" w:color="auto"/>
        <w:bottom w:val="none" w:sz="0" w:space="0" w:color="auto"/>
        <w:right w:val="none" w:sz="0" w:space="0" w:color="auto"/>
      </w:divBdr>
    </w:div>
    <w:div w:id="1566257429">
      <w:bodyDiv w:val="1"/>
      <w:marLeft w:val="0"/>
      <w:marRight w:val="0"/>
      <w:marTop w:val="0"/>
      <w:marBottom w:val="0"/>
      <w:divBdr>
        <w:top w:val="none" w:sz="0" w:space="0" w:color="auto"/>
        <w:left w:val="none" w:sz="0" w:space="0" w:color="auto"/>
        <w:bottom w:val="none" w:sz="0" w:space="0" w:color="auto"/>
        <w:right w:val="none" w:sz="0" w:space="0" w:color="auto"/>
      </w:divBdr>
    </w:div>
    <w:div w:id="1684353514">
      <w:bodyDiv w:val="1"/>
      <w:marLeft w:val="0"/>
      <w:marRight w:val="0"/>
      <w:marTop w:val="0"/>
      <w:marBottom w:val="0"/>
      <w:divBdr>
        <w:top w:val="none" w:sz="0" w:space="0" w:color="auto"/>
        <w:left w:val="none" w:sz="0" w:space="0" w:color="auto"/>
        <w:bottom w:val="none" w:sz="0" w:space="0" w:color="auto"/>
        <w:right w:val="none" w:sz="0" w:space="0" w:color="auto"/>
      </w:divBdr>
    </w:div>
    <w:div w:id="1819221870">
      <w:bodyDiv w:val="1"/>
      <w:marLeft w:val="0"/>
      <w:marRight w:val="0"/>
      <w:marTop w:val="0"/>
      <w:marBottom w:val="0"/>
      <w:divBdr>
        <w:top w:val="none" w:sz="0" w:space="0" w:color="auto"/>
        <w:left w:val="none" w:sz="0" w:space="0" w:color="auto"/>
        <w:bottom w:val="none" w:sz="0" w:space="0" w:color="auto"/>
        <w:right w:val="none" w:sz="0" w:space="0" w:color="auto"/>
      </w:divBdr>
    </w:div>
    <w:div w:id="193658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0" Type="http://schemas.openxmlformats.org/officeDocument/2006/relationships/package" Target="embeddings/Microsoft_Excel_Worksheet.xlsx"/><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M:\Chautagne\ID2\999859F8-8595-423B-A93C-4E523F9D893E\0\177000-177999\177793\L\L\Administratif_SIVSC_CDL_TRAV_pr&#233;paration%20tarifs%20cdl%202025%20(ID%2017779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r-FR"/>
              <a:t>COMPARAISON TARIF2024/2025</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0"/>
          <c:order val="0"/>
          <c:tx>
            <c:strRef>
              <c:f>Feuil2!$V$20</c:f>
              <c:strCache>
                <c:ptCount val="1"/>
                <c:pt idx="0">
                  <c:v>2024</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Feuil2!$W$17:$AH$17</c:f>
              <c:strCache>
                <c:ptCount val="12"/>
                <c:pt idx="0">
                  <c:v>290</c:v>
                </c:pt>
                <c:pt idx="1">
                  <c:v>500</c:v>
                </c:pt>
                <c:pt idx="2">
                  <c:v>700</c:v>
                </c:pt>
                <c:pt idx="3">
                  <c:v>800</c:v>
                </c:pt>
                <c:pt idx="4">
                  <c:v>1000</c:v>
                </c:pt>
                <c:pt idx="5">
                  <c:v>1200</c:v>
                </c:pt>
                <c:pt idx="6">
                  <c:v>1500</c:v>
                </c:pt>
                <c:pt idx="7">
                  <c:v>1600</c:v>
                </c:pt>
                <c:pt idx="8">
                  <c:v>1800</c:v>
                </c:pt>
                <c:pt idx="9">
                  <c:v>2000</c:v>
                </c:pt>
                <c:pt idx="10">
                  <c:v>2400</c:v>
                </c:pt>
                <c:pt idx="11">
                  <c:v>2400 +</c:v>
                </c:pt>
              </c:strCache>
            </c:strRef>
          </c:cat>
          <c:val>
            <c:numRef>
              <c:f>Feuil2!$W$20:$AH$20</c:f>
              <c:numCache>
                <c:formatCode>#\ ##0.00\ _€</c:formatCode>
                <c:ptCount val="12"/>
                <c:pt idx="0">
                  <c:v>8.5</c:v>
                </c:pt>
                <c:pt idx="1">
                  <c:v>10.5</c:v>
                </c:pt>
                <c:pt idx="2">
                  <c:v>12.5</c:v>
                </c:pt>
                <c:pt idx="3">
                  <c:v>13.5</c:v>
                </c:pt>
                <c:pt idx="4">
                  <c:v>13.5</c:v>
                </c:pt>
                <c:pt idx="5">
                  <c:v>15.8</c:v>
                </c:pt>
                <c:pt idx="6">
                  <c:v>15.8</c:v>
                </c:pt>
                <c:pt idx="7">
                  <c:v>17.899999999999999</c:v>
                </c:pt>
                <c:pt idx="8">
                  <c:v>17.899999999999999</c:v>
                </c:pt>
                <c:pt idx="9">
                  <c:v>17.899999999999999</c:v>
                </c:pt>
                <c:pt idx="10">
                  <c:v>20</c:v>
                </c:pt>
                <c:pt idx="11">
                  <c:v>20</c:v>
                </c:pt>
              </c:numCache>
            </c:numRef>
          </c:val>
          <c:smooth val="0"/>
          <c:extLst>
            <c:ext xmlns:c16="http://schemas.microsoft.com/office/drawing/2014/chart" uri="{C3380CC4-5D6E-409C-BE32-E72D297353CC}">
              <c16:uniqueId val="{00000000-7BBD-43A2-A1C2-BA33A8C95BBD}"/>
            </c:ext>
          </c:extLst>
        </c:ser>
        <c:ser>
          <c:idx val="1"/>
          <c:order val="1"/>
          <c:tx>
            <c:strRef>
              <c:f>Feuil2!$V$21</c:f>
              <c:strCache>
                <c:ptCount val="1"/>
                <c:pt idx="0">
                  <c:v>2025</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Feuil2!$W$17:$AH$17</c:f>
              <c:strCache>
                <c:ptCount val="12"/>
                <c:pt idx="0">
                  <c:v>290</c:v>
                </c:pt>
                <c:pt idx="1">
                  <c:v>500</c:v>
                </c:pt>
                <c:pt idx="2">
                  <c:v>700</c:v>
                </c:pt>
                <c:pt idx="3">
                  <c:v>800</c:v>
                </c:pt>
                <c:pt idx="4">
                  <c:v>1000</c:v>
                </c:pt>
                <c:pt idx="5">
                  <c:v>1200</c:v>
                </c:pt>
                <c:pt idx="6">
                  <c:v>1500</c:v>
                </c:pt>
                <c:pt idx="7">
                  <c:v>1600</c:v>
                </c:pt>
                <c:pt idx="8">
                  <c:v>1800</c:v>
                </c:pt>
                <c:pt idx="9">
                  <c:v>2000</c:v>
                </c:pt>
                <c:pt idx="10">
                  <c:v>2400</c:v>
                </c:pt>
                <c:pt idx="11">
                  <c:v>2400 +</c:v>
                </c:pt>
              </c:strCache>
            </c:strRef>
          </c:cat>
          <c:val>
            <c:numRef>
              <c:f>Feuil2!$W$21:$AH$21</c:f>
              <c:numCache>
                <c:formatCode>#\ ##0.00\ _€</c:formatCode>
                <c:ptCount val="12"/>
                <c:pt idx="0">
                  <c:v>9.5</c:v>
                </c:pt>
                <c:pt idx="1">
                  <c:v>9.5</c:v>
                </c:pt>
                <c:pt idx="2">
                  <c:v>9.5</c:v>
                </c:pt>
                <c:pt idx="3">
                  <c:v>13.5</c:v>
                </c:pt>
                <c:pt idx="4">
                  <c:v>13.5</c:v>
                </c:pt>
                <c:pt idx="5">
                  <c:v>17.5</c:v>
                </c:pt>
                <c:pt idx="6">
                  <c:v>17.5</c:v>
                </c:pt>
                <c:pt idx="7">
                  <c:v>21</c:v>
                </c:pt>
                <c:pt idx="8">
                  <c:v>21</c:v>
                </c:pt>
                <c:pt idx="9">
                  <c:v>21</c:v>
                </c:pt>
                <c:pt idx="10">
                  <c:v>24</c:v>
                </c:pt>
                <c:pt idx="11">
                  <c:v>26</c:v>
                </c:pt>
              </c:numCache>
            </c:numRef>
          </c:val>
          <c:smooth val="0"/>
          <c:extLst>
            <c:ext xmlns:c16="http://schemas.microsoft.com/office/drawing/2014/chart" uri="{C3380CC4-5D6E-409C-BE32-E72D297353CC}">
              <c16:uniqueId val="{00000001-7BBD-43A2-A1C2-BA33A8C95BBD}"/>
            </c:ext>
          </c:extLst>
        </c:ser>
        <c:dLbls>
          <c:showLegendKey val="0"/>
          <c:showVal val="0"/>
          <c:showCatName val="0"/>
          <c:showSerName val="0"/>
          <c:showPercent val="0"/>
          <c:showBubbleSize val="0"/>
        </c:dLbls>
        <c:smooth val="0"/>
        <c:axId val="823270984"/>
        <c:axId val="823272424"/>
      </c:lineChart>
      <c:catAx>
        <c:axId val="8232709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23272424"/>
        <c:crosses val="autoZero"/>
        <c:auto val="1"/>
        <c:lblAlgn val="ctr"/>
        <c:lblOffset val="100"/>
        <c:noMultiLvlLbl val="0"/>
      </c:catAx>
      <c:valAx>
        <c:axId val="823272424"/>
        <c:scaling>
          <c:orientation val="minMax"/>
        </c:scaling>
        <c:delete val="0"/>
        <c:axPos val="l"/>
        <c:majorGridlines>
          <c:spPr>
            <a:ln w="9525" cap="flat" cmpd="sng" algn="ctr">
              <a:solidFill>
                <a:schemeClr val="tx1">
                  <a:lumMod val="15000"/>
                  <a:lumOff val="85000"/>
                </a:schemeClr>
              </a:solidFill>
              <a:round/>
            </a:ln>
            <a:effectLst/>
          </c:spPr>
        </c:majorGridlines>
        <c:numFmt formatCode="#\ ##0.00\ 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232709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f8c1fc-3841-44bb-8764-a8c11fab46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7A547D36AD84D9DB79CD5B4E2E8FA" ma:contentTypeVersion="16" ma:contentTypeDescription="Crée un document." ma:contentTypeScope="" ma:versionID="ba9e71dadb58045db86de6dc7ebd0887">
  <xsd:schema xmlns:xsd="http://www.w3.org/2001/XMLSchema" xmlns:xs="http://www.w3.org/2001/XMLSchema" xmlns:p="http://schemas.microsoft.com/office/2006/metadata/properties" xmlns:ns3="1bf8c1fc-3841-44bb-8764-a8c11fab46f9" xmlns:ns4="ced39638-42ef-4d79-a1a8-abd2019d225b" targetNamespace="http://schemas.microsoft.com/office/2006/metadata/properties" ma:root="true" ma:fieldsID="b9fb1839d42d543992879898a0d8ee0a" ns3:_="" ns4:_="">
    <xsd:import namespace="1bf8c1fc-3841-44bb-8764-a8c11fab46f9"/>
    <xsd:import namespace="ced39638-42ef-4d79-a1a8-abd2019d22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c1fc-3841-44bb-8764-a8c11fab4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d39638-42ef-4d79-a1a8-abd2019d225b"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49E8B-E674-4F0D-8998-BF164847B793}">
  <ds:schemaRefs>
    <ds:schemaRef ds:uri="http://schemas.microsoft.com/office/2006/metadata/properties"/>
    <ds:schemaRef ds:uri="http://schemas.microsoft.com/office/infopath/2007/PartnerControls"/>
    <ds:schemaRef ds:uri="1bf8c1fc-3841-44bb-8764-a8c11fab46f9"/>
  </ds:schemaRefs>
</ds:datastoreItem>
</file>

<file path=customXml/itemProps2.xml><?xml version="1.0" encoding="utf-8"?>
<ds:datastoreItem xmlns:ds="http://schemas.openxmlformats.org/officeDocument/2006/customXml" ds:itemID="{C1207461-8E5E-427A-8A94-F0B900DF4D9F}">
  <ds:schemaRefs>
    <ds:schemaRef ds:uri="http://schemas.microsoft.com/sharepoint/v3/contenttype/forms"/>
  </ds:schemaRefs>
</ds:datastoreItem>
</file>

<file path=customXml/itemProps3.xml><?xml version="1.0" encoding="utf-8"?>
<ds:datastoreItem xmlns:ds="http://schemas.openxmlformats.org/officeDocument/2006/customXml" ds:itemID="{F5C1F79C-4013-4AAB-BFB9-F5F4C19F3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c1fc-3841-44bb-8764-a8c11fab46f9"/>
    <ds:schemaRef ds:uri="ced39638-42ef-4d79-a1a8-abd2019d2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2167</Words>
  <Characters>11924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BARD-AUGUSTE</dc:creator>
  <cp:keywords/>
  <dc:description/>
  <cp:lastModifiedBy>Isabelle BARD-AUGUSTE</cp:lastModifiedBy>
  <cp:revision>2</cp:revision>
  <dcterms:created xsi:type="dcterms:W3CDTF">2025-01-30T09:34:00Z</dcterms:created>
  <dcterms:modified xsi:type="dcterms:W3CDTF">2025-01-30T09:34:00Z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0x010100B4E7A547D36AD84D9DB79CD5B4E2E8FA</vt:lpwstr>
  </property>
</Properties>
</file>