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Gotham" w:hAnsi="Gotham"/>
          <w:b/>
          <w:bCs/>
          <w:sz w:val="28"/>
          <w:szCs w:val="28"/>
        </w:rPr>
      </w:pPr>
      <w:r>
        <w:rPr/>
        <w:drawing>
          <wp:inline distT="0" distB="0" distL="0" distR="0">
            <wp:extent cx="1184275" cy="8540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otham" w:hAnsi="Gotham"/>
          <w:b/>
          <w:bCs/>
          <w:sz w:val="28"/>
          <w:szCs w:val="28"/>
        </w:rPr>
        <w:tab/>
        <w:tab/>
        <w:tab/>
        <w:t>Conseil Syndical</w:t>
      </w:r>
    </w:p>
    <w:p>
      <w:pPr>
        <w:pStyle w:val="Normal"/>
        <w:jc w:val="center"/>
        <w:rPr>
          <w:rFonts w:ascii="Gotham" w:hAnsi="Gotham"/>
          <w:b/>
          <w:bCs/>
          <w:sz w:val="28"/>
          <w:szCs w:val="28"/>
        </w:rPr>
      </w:pPr>
      <w:r>
        <w:rPr>
          <w:rFonts w:ascii="Gotham" w:hAnsi="Gotham"/>
          <w:b/>
          <w:bCs/>
          <w:sz w:val="28"/>
          <w:szCs w:val="28"/>
        </w:rPr>
        <w:t>Le 1 er Septembre 2025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  <w:b/>
          <w:bCs/>
          <w:u w:val="single"/>
        </w:rPr>
        <w:t>Présents</w:t>
      </w:r>
      <w:r>
        <w:rPr>
          <w:rFonts w:ascii="Gotham" w:hAnsi="Gotham"/>
        </w:rPr>
        <w:t> : Marie Claire BARBIER, Michèle LAMBERT, Monique MICHAUD, Nathalie POCHAT, Christiane MOUCHET, Allison MUGNIER, Nadine TRUCHE, Christine MOUGIN, Olivier ROGNARD.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Centre de Loisirs : bilan de l’été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L’été s’est bien déroulé. Les stages se sont bien déroulés et étaient pleins. Seul le séjour, n’a pas été complet. La dernière semaine d’Août, le centre était complet.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Avec les agents saisonniers, tout s’est bien passé. L’équipe diplômée était autonome et impliquée, les jeunes avaient tous leur BAFA : ce qui à facilit</w:t>
      </w:r>
      <w:r>
        <w:rPr>
          <w:rFonts w:ascii="Gotham" w:hAnsi="Gotham"/>
        </w:rPr>
        <w:t>é</w:t>
      </w:r>
      <w:r>
        <w:rPr>
          <w:rFonts w:ascii="Gotham" w:hAnsi="Gotham"/>
        </w:rPr>
        <w:t xml:space="preserve"> le travail de la directrice. 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Départ de la secrétaire chargée des ressources humaines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Dans le cadre de la mise à disposition RH de Grand Lac, cet agent a souhaité faire son temps de travail sur une seule entité : elle sera donc à temps plein sur les missions qui lui sont confiées pour Grand Lac dès le 1</w:t>
      </w:r>
      <w:r>
        <w:rPr>
          <w:rFonts w:ascii="Gotham" w:hAnsi="Gotham"/>
          <w:vertAlign w:val="superscript"/>
        </w:rPr>
        <w:t>er</w:t>
      </w:r>
      <w:r>
        <w:rPr>
          <w:rFonts w:ascii="Gotham" w:hAnsi="Gotham"/>
        </w:rPr>
        <w:t xml:space="preserve"> Janvier 2026. Nous allons donc travailler au recrutement d’un secrétaire RH et à l’organisation du travail en interne.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Changement de logiciel métier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Après la phase de paramétrage depuis Juin, nous rentrons dans la phase de formation e-learning pour accéder aux phases de formation en distanciel sur les thématiques plus précises. Ce changement implique une forte mobilisation des agents sur cette formation ainsi que sur les changements à anticiper : notamment sur la suppression des régies liées à la cohérence de gestion financière demandée par la Direction des Finances pour notre collectivité.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 xml:space="preserve">Présentation Petite Enfance : 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La présentation a été faite en bureau par la coordinatrice Petite Enfance</w:t>
      </w:r>
    </w:p>
    <w:p>
      <w:pPr>
        <w:pStyle w:val="Normal"/>
        <w:jc w:val="both"/>
        <w:rPr>
          <w:rFonts w:ascii="Gotham" w:hAnsi="Gotham"/>
        </w:rPr>
      </w:pPr>
      <w:r>
        <w:rPr>
          <w:rFonts w:ascii="Gotham" w:hAnsi="Gotham"/>
          <w:b/>
          <w:bCs/>
          <w:u w:val="single"/>
        </w:rPr>
        <w:t>Semaine de la Petite Enfance</w:t>
      </w:r>
      <w:r>
        <w:rPr>
          <w:rFonts w:ascii="Gotham" w:hAnsi="Gotham"/>
        </w:rPr>
        <w:t> : pour la 1</w:t>
      </w:r>
      <w:r>
        <w:rPr>
          <w:rFonts w:ascii="Gotham" w:hAnsi="Gotham"/>
          <w:vertAlign w:val="superscript"/>
        </w:rPr>
        <w:t>ère</w:t>
      </w:r>
      <w:r>
        <w:rPr>
          <w:rFonts w:ascii="Gotham" w:hAnsi="Gotham"/>
        </w:rPr>
        <w:t xml:space="preserve"> fois, un seul programme avec l’ALCC et le Val de Crêne. La thématique de l’environnement est un thème privilégié par la CAF. Nous avons été conviés à présenter les actions menées par le SIVSC sur les sorties « nature » notamment avec le Marais de Lavours sur une journée spécifique organisée pour tous les services Petite Enfance par la CAF de Savoie.</w:t>
      </w:r>
    </w:p>
    <w:p>
      <w:pPr>
        <w:pStyle w:val="Normal"/>
        <w:jc w:val="both"/>
        <w:rPr>
          <w:rFonts w:ascii="Gotham" w:hAnsi="Gotham"/>
        </w:rPr>
      </w:pPr>
      <w:r>
        <w:rPr>
          <w:rFonts w:ascii="Gotham" w:hAnsi="Gotham"/>
          <w:b/>
          <w:bCs/>
          <w:u w:val="single"/>
        </w:rPr>
        <w:t>Semaine de la Parentalité</w:t>
      </w:r>
      <w:r>
        <w:rPr>
          <w:rFonts w:ascii="Gotham" w:hAnsi="Gotham"/>
        </w:rPr>
        <w:t> : semaine riche sauf pour la conférence sur le positionnement parental à l’adolescence qui a été annulée faute de participants.</w:t>
      </w:r>
    </w:p>
    <w:p>
      <w:pPr>
        <w:pStyle w:val="Normal"/>
        <w:jc w:val="both"/>
        <w:rPr>
          <w:rFonts w:ascii="Gotham" w:hAnsi="Gotham"/>
        </w:rPr>
      </w:pPr>
      <w:r>
        <w:rPr>
          <w:rFonts w:ascii="Gotham" w:hAnsi="Gotham"/>
          <w:b/>
          <w:bCs/>
          <w:u w:val="single"/>
        </w:rPr>
        <w:t>Opération 1ères pages</w:t>
      </w:r>
      <w:r>
        <w:rPr>
          <w:rFonts w:ascii="Gotham" w:hAnsi="Gotham"/>
        </w:rPr>
        <w:t> : Spectacle concert, inspiré du livre « Bestiole » le 11 octobre 2025.</w:t>
      </w:r>
    </w:p>
    <w:p>
      <w:pPr>
        <w:pStyle w:val="Normal"/>
        <w:jc w:val="both"/>
        <w:rPr>
          <w:rFonts w:ascii="Gotham" w:hAnsi="Gotham"/>
        </w:rPr>
      </w:pPr>
      <w:r>
        <w:rPr>
          <w:rFonts w:ascii="Gotham" w:hAnsi="Gotham"/>
        </w:rPr>
        <w:t xml:space="preserve">Un travail commun des deux coordinateurs a été fait pour amorcer un nouveau diagnostic sur le territoire ainsi </w:t>
      </w:r>
      <w:r>
        <w:rPr>
          <w:rFonts w:ascii="Gotham" w:hAnsi="Gotham"/>
        </w:rPr>
        <w:t>q’</w:t>
      </w:r>
      <w:r>
        <w:rPr>
          <w:rFonts w:ascii="Gotham" w:hAnsi="Gotham"/>
        </w:rPr>
        <w:t>un questionnaire sur la parentalité qui va être déploy</w:t>
      </w:r>
      <w:r>
        <w:rPr>
          <w:rFonts w:ascii="Gotham" w:hAnsi="Gotham"/>
        </w:rPr>
        <w:t xml:space="preserve">é </w:t>
      </w:r>
      <w:r>
        <w:rPr>
          <w:rFonts w:ascii="Gotham" w:hAnsi="Gotham"/>
        </w:rPr>
        <w:t>auprès des familles.</w:t>
      </w:r>
    </w:p>
    <w:p>
      <w:pPr>
        <w:pStyle w:val="Normal"/>
        <w:jc w:val="both"/>
        <w:rPr>
          <w:rFonts w:ascii="Gotham" w:hAnsi="Gotham"/>
        </w:rPr>
      </w:pPr>
      <w:r>
        <w:rPr>
          <w:rFonts w:ascii="Gotham" w:hAnsi="Gotham"/>
        </w:rPr>
        <w:t xml:space="preserve">Pour la première fois, grâce aux actions déployées dans le cadre d’Octobre Rose pour </w:t>
      </w:r>
      <w:r>
        <w:rPr>
          <w:rFonts w:ascii="Gotham" w:hAnsi="Gotham"/>
        </w:rPr>
        <w:t xml:space="preserve">le </w:t>
      </w:r>
      <w:r>
        <w:rPr>
          <w:rFonts w:ascii="Gotham" w:hAnsi="Gotham"/>
        </w:rPr>
        <w:t>dépistage du cancer du sein, un travail partenarial débute avec la Maison de Santé, les sage-femmes vont intervenir à la crèche et au RPE.</w:t>
      </w:r>
    </w:p>
    <w:p>
      <w:pPr>
        <w:pStyle w:val="Normal"/>
        <w:jc w:val="both"/>
        <w:rPr>
          <w:rFonts w:ascii="Gotham" w:hAnsi="Gotham"/>
        </w:rPr>
      </w:pPr>
      <w:r>
        <w:rPr>
          <w:rFonts w:ascii="Gotham" w:hAnsi="Gotham"/>
        </w:rPr>
        <w:t xml:space="preserve">Thème culturel pour </w:t>
      </w:r>
      <w:r>
        <w:rPr>
          <w:rFonts w:ascii="Gotham" w:hAnsi="Gotham"/>
        </w:rPr>
        <w:t xml:space="preserve">le </w:t>
      </w:r>
      <w:r>
        <w:rPr>
          <w:rFonts w:ascii="Gotham" w:hAnsi="Gotham"/>
        </w:rPr>
        <w:t>lancement CAC : les représentations de genre (ex : les cadeaux de Noël)</w:t>
      </w:r>
    </w:p>
    <w:p>
      <w:pPr>
        <w:pStyle w:val="Normal"/>
        <w:jc w:val="both"/>
        <w:rPr>
          <w:rFonts w:ascii="Gotham" w:hAnsi="Gotham"/>
        </w:rPr>
      </w:pPr>
      <w:r>
        <w:rPr>
          <w:rFonts w:ascii="Gotham" w:hAnsi="Gotham"/>
        </w:rPr>
        <w:t>Groupe Allaitement Savoie qui nous demande une salle pour faire perdurer leurs permanences sur la Chautagne.</w:t>
      </w:r>
    </w:p>
    <w:p>
      <w:pPr>
        <w:pStyle w:val="Normal"/>
        <w:jc w:val="both"/>
        <w:rPr>
          <w:rFonts w:ascii="Gotham" w:hAnsi="Gotham"/>
        </w:rPr>
      </w:pPr>
      <w:r>
        <w:rPr>
          <w:rFonts w:ascii="Gotham" w:hAnsi="Gotham"/>
        </w:rPr>
        <w:t xml:space="preserve">Convention avec </w:t>
      </w:r>
      <w:r>
        <w:rPr>
          <w:rFonts w:ascii="Gotham" w:hAnsi="Gotham"/>
        </w:rPr>
        <w:t xml:space="preserve">la </w:t>
      </w:r>
      <w:r>
        <w:rPr>
          <w:rFonts w:ascii="Gotham" w:hAnsi="Gotham"/>
        </w:rPr>
        <w:t>MAM de Motz : toujours pas validée, l’accompagnement des assistantes maternelles de cette MAM reste en attente.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Critères sur le règlement intérieur de la crèche puis Micro-crèche :</w:t>
      </w:r>
    </w:p>
    <w:p>
      <w:pPr>
        <w:pStyle w:val="ListParagraph"/>
        <w:numPr>
          <w:ilvl w:val="0"/>
          <w:numId w:val="1"/>
        </w:numPr>
        <w:rPr>
          <w:rFonts w:ascii="Gotham" w:hAnsi="Gotham"/>
        </w:rPr>
      </w:pPr>
      <w:r>
        <w:rPr>
          <w:rFonts w:ascii="Gotham" w:hAnsi="Gotham"/>
        </w:rPr>
        <w:t>Semaine de Pâques</w:t>
      </w:r>
    </w:p>
    <w:p>
      <w:pPr>
        <w:pStyle w:val="ListParagraph"/>
        <w:numPr>
          <w:ilvl w:val="0"/>
          <w:numId w:val="1"/>
        </w:numPr>
        <w:rPr>
          <w:rFonts w:ascii="Gotham" w:hAnsi="Gotham"/>
        </w:rPr>
      </w:pPr>
      <w:r>
        <w:rPr>
          <w:rFonts w:ascii="Gotham" w:hAnsi="Gotham"/>
        </w:rPr>
        <w:t>Réévaluation des points sur la grille d’admission</w:t>
      </w:r>
    </w:p>
    <w:p>
      <w:pPr>
        <w:pStyle w:val="ListParagraph"/>
        <w:numPr>
          <w:ilvl w:val="0"/>
          <w:numId w:val="1"/>
        </w:numPr>
        <w:rPr>
          <w:rFonts w:ascii="Gotham" w:hAnsi="Gotham"/>
        </w:rPr>
      </w:pPr>
      <w:r>
        <w:rPr>
          <w:rFonts w:ascii="Gotham" w:hAnsi="Gotham"/>
        </w:rPr>
        <w:t>Règlement à adapter : jours de carence, référence à la charte de l’accueil des tout-petits.</w:t>
      </w:r>
    </w:p>
    <w:p>
      <w:pPr>
        <w:pStyle w:val="ListParagraph"/>
        <w:numPr>
          <w:ilvl w:val="0"/>
          <w:numId w:val="1"/>
        </w:numPr>
        <w:rPr>
          <w:rFonts w:ascii="Gotham" w:hAnsi="Gotham"/>
        </w:rPr>
      </w:pPr>
      <w:r>
        <w:rPr>
          <w:rFonts w:ascii="Gotham" w:hAnsi="Gotham"/>
        </w:rPr>
        <w:t>Une réflexion est en cours concernant la végétalisation de la cour de la crèche.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u w:val="single"/>
        </w:rPr>
      </w:pPr>
      <w:r>
        <w:rPr>
          <w:rFonts w:ascii="Gotham" w:hAnsi="Gotham"/>
          <w:u w:val="single"/>
        </w:rPr>
        <w:t xml:space="preserve">Invitation au spectacle de fin d’année le vendredi 12 </w:t>
      </w:r>
      <w:r>
        <w:rPr>
          <w:rFonts w:ascii="Gotham" w:hAnsi="Gotham"/>
          <w:u w:val="single"/>
        </w:rPr>
        <w:t>d</w:t>
      </w:r>
      <w:r>
        <w:rPr>
          <w:rFonts w:ascii="Gotham" w:hAnsi="Gotham"/>
          <w:u w:val="single"/>
        </w:rPr>
        <w:t>écembre : RPE et Crèche.</w:t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Validation du CR du 26 Mai 2025 à l’unimité</w:t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Secrétaire de séance : Conjux – Nathalie POCHAT</w:t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 xml:space="preserve">Date des futures réunions et DOB (le 24 </w:t>
      </w:r>
      <w:r>
        <w:rPr>
          <w:rFonts w:ascii="Gotham" w:hAnsi="Gotham"/>
          <w:b/>
          <w:bCs/>
          <w:u w:val="single"/>
        </w:rPr>
        <w:t>no</w:t>
      </w:r>
      <w:r>
        <w:rPr>
          <w:rFonts w:ascii="Gotham" w:hAnsi="Gotham"/>
          <w:b/>
          <w:bCs/>
          <w:u w:val="single"/>
        </w:rPr>
        <w:t xml:space="preserve">vembre) et BP (le 17 </w:t>
      </w:r>
      <w:r>
        <w:rPr>
          <w:rFonts w:ascii="Gotham" w:hAnsi="Gotham"/>
          <w:b/>
          <w:bCs/>
          <w:u w:val="single"/>
        </w:rPr>
        <w:t>déc</w:t>
      </w:r>
      <w:r>
        <w:rPr>
          <w:rFonts w:ascii="Gotham" w:hAnsi="Gotham"/>
          <w:b/>
          <w:bCs/>
          <w:u w:val="single"/>
        </w:rPr>
        <w:t>embre)</w:t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</w:r>
    </w:p>
    <w:p>
      <w:pPr>
        <w:pStyle w:val="Normal"/>
        <w:rPr>
          <w:rFonts w:ascii="Gotham" w:hAnsi="Gotham"/>
          <w:b/>
          <w:bCs/>
          <w:sz w:val="28"/>
          <w:szCs w:val="28"/>
          <w:u w:val="single"/>
        </w:rPr>
      </w:pPr>
      <w:r>
        <w:rPr>
          <w:rFonts w:ascii="Gotham" w:hAnsi="Gotham"/>
          <w:b/>
          <w:bCs/>
          <w:sz w:val="28"/>
          <w:szCs w:val="28"/>
          <w:u w:val="single"/>
        </w:rPr>
        <w:t>Finances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Selon l’avancée du chantier, il y aura différentes décisions sur le budget à prendre et à réajuster.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Dépenses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Acquisition du terrain : 31 000 €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 xml:space="preserve">Etudes 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MO : 135 642,54 €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Autres : 24 396 €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Marché Travaux : 1 117 900 €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Mobilier : 80 000 €</w:t>
      </w:r>
    </w:p>
    <w:p>
      <w:pPr>
        <w:pStyle w:val="Normal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Total : 1 388 938,60 €</w:t>
      </w:r>
    </w:p>
    <w:p>
      <w:pPr>
        <w:pStyle w:val="Normal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Subventions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PIAJE : 192 000 €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DETR : 120 000 €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 xml:space="preserve">CD73 </w:t>
        <w:tab/>
        <w:tab/>
        <w:t>Plan Forestier : 15 000 €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ab/>
        <w:tab/>
        <w:t>Contrat Départemental : 300 000 €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Région AURA</w:t>
        <w:tab/>
        <w:tab/>
        <w:t>Plan Bois :  60 000 €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FCTVA : 217 813,35 €</w:t>
      </w:r>
    </w:p>
    <w:p>
      <w:pPr>
        <w:pStyle w:val="Normal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Financements : 904 813,35 €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Recours à l’emprunt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CAF (Emprunt à taux zéro) : 300 000 €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Emprunt bancaire : 184 125,24 € (emprunt à court terme)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Décision modificative : votée à l’unanimité</w:t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Admission en non-valeur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La trésorerie a recherché les payeurs de ces deux factures mais il nous faut les passer en admission en non-valeur pour 79 €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b/>
          <w:bCs/>
          <w:u w:val="single"/>
        </w:rPr>
      </w:pPr>
      <w:r>
        <w:rPr>
          <w:rFonts w:ascii="Gotham" w:hAnsi="Gotham"/>
          <w:b/>
          <w:bCs/>
          <w:u w:val="single"/>
        </w:rPr>
        <w:t>4 délibérations RH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Accroissement temporaire d’activité et accroissement saisonnier d’activité, cette délibération permet d’ajuster les postes aux besoins de fonctionnement des services.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Votée à l’unanimité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Création d’un emploi au tableau des effectifs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  <w:u w:val="single"/>
        </w:rPr>
      </w:pPr>
      <w:r>
        <w:rPr>
          <w:rFonts w:ascii="Gotham" w:hAnsi="Gotham"/>
          <w:u w:val="single"/>
        </w:rPr>
        <w:t>Convention cadre-ppr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Débat sur l’organisation à avoir et à proposer à un agent déclaré inapte sur son poste :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L’assemblée décide de valider la convention d’accompagnement au reclassement pour 6 mois avec bilan. Un bilan tou</w:t>
      </w:r>
      <w:r>
        <w:rPr>
          <w:rFonts w:ascii="Gotham" w:hAnsi="Gotham"/>
        </w:rPr>
        <w:t>t</w:t>
      </w:r>
      <w:r>
        <w:rPr>
          <w:rFonts w:ascii="Gotham" w:hAnsi="Gotham"/>
        </w:rPr>
        <w:t xml:space="preserve"> les 3 mois voir tous les mois, effectué par la directrice du SIVSC sera engagé pour que l’agent </w:t>
      </w:r>
      <w:r>
        <w:rPr>
          <w:rFonts w:ascii="Gotham" w:hAnsi="Gotham"/>
        </w:rPr>
        <w:t xml:space="preserve">puisse </w:t>
      </w:r>
      <w:r>
        <w:rPr>
          <w:rFonts w:ascii="Gotham" w:hAnsi="Gotham"/>
        </w:rPr>
        <w:t>être actif pendant sa PPR. Il est important d’ajuster le projet au maximum pour que l’agent puisse être reclassé au mieux.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 xml:space="preserve"> 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Votée à l’unanimité.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Temps partiel pour les agents employés à temps non complet sur autorisation.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Votée à l’unanimité.</w:t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</w:r>
    </w:p>
    <w:p>
      <w:pPr>
        <w:pStyle w:val="Normal"/>
        <w:rPr>
          <w:rFonts w:ascii="Gotham" w:hAnsi="Gotham"/>
        </w:rPr>
      </w:pPr>
      <w:r>
        <w:rPr>
          <w:rFonts w:ascii="Gotham" w:hAnsi="Gotham"/>
        </w:rPr>
        <w:t>Levée de séance à 21H30.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otham">
    <w:charset w:val="00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770a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770a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770a7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770a7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770a7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770a7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770a7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770a7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770a7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770a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770a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770a7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770a7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770a75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770a75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770a75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770a75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770a75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770a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770a7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770a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70a75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770a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70a75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reCar"/>
    <w:uiPriority w:val="10"/>
    <w:qFormat/>
    <w:rsid w:val="00770a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770a7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770a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70a7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77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f8c1fc-3841-44bb-8764-a8c11fab4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7A547D36AD84D9DB79CD5B4E2E8FA" ma:contentTypeVersion="16" ma:contentTypeDescription="Crée un document." ma:contentTypeScope="" ma:versionID="c05032470e95e03c1255e488ff0c9173">
  <xsd:schema xmlns:xsd="http://www.w3.org/2001/XMLSchema" xmlns:xs="http://www.w3.org/2001/XMLSchema" xmlns:p="http://schemas.microsoft.com/office/2006/metadata/properties" xmlns:ns3="1bf8c1fc-3841-44bb-8764-a8c11fab46f9" xmlns:ns4="ced39638-42ef-4d79-a1a8-abd2019d225b" targetNamespace="http://schemas.microsoft.com/office/2006/metadata/properties" ma:root="true" ma:fieldsID="eff450d52f6b78dbeeb627aed7357026" ns3:_="" ns4:_="">
    <xsd:import namespace="1bf8c1fc-3841-44bb-8764-a8c11fab46f9"/>
    <xsd:import namespace="ced39638-42ef-4d79-a1a8-abd2019d2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8c1fc-3841-44bb-8764-a8c11fab4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9638-42ef-4d79-a1a8-abd2019d22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16818-D681-46A1-AB7A-06A3CD6500A8}">
  <ds:schemaRefs>
    <ds:schemaRef ds:uri="1bf8c1fc-3841-44bb-8764-a8c11fab46f9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ed39638-42ef-4d79-a1a8-abd2019d225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9640FB-66C0-48DC-9BA1-4397AF608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E3D24-3534-4C6A-9F37-213FD25FC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8c1fc-3841-44bb-8764-a8c11fab46f9"/>
    <ds:schemaRef ds:uri="ced39638-42ef-4d79-a1a8-abd2019d2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LibreOffice/25.2.5.2$Windows_X86_64 LibreOffice_project/03d19516eb2e1dd5d4ccd751a0d6f35f35e08022</Application>
  <AppVersion>15.0000</AppVersion>
  <Pages>4</Pages>
  <Words>874</Words>
  <Characters>4290</Characters>
  <CharactersWithSpaces>5110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2025-10-16T06:26:00Z</dcterms:created>
  <dc:creator>Isabelle BARD-AUGUSTE</dc:creator>
  <dc:description/>
  <dc:language>fr-FR</dc:language>
  <cp:lastModifiedBy/>
  <dcterms:modified xsi:type="dcterms:W3CDTF">2025-10-16T11:21:33Z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0x010100B4E7A547D36AD84D9DB79CD5B4E2E8FA</vt:lpwstr>
  </property>
</Properties>
</file>