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AD166" w14:textId="249F05EB" w:rsidR="00F03BA4" w:rsidRPr="00FA4AB1" w:rsidRDefault="00FA4AB1" w:rsidP="00003C2B">
      <w:pPr>
        <w:pBdr>
          <w:bottom w:val="single" w:sz="4" w:space="1" w:color="auto"/>
        </w:pBdr>
        <w:jc w:val="center"/>
        <w:rPr>
          <w:sz w:val="40"/>
          <w:szCs w:val="40"/>
        </w:rPr>
      </w:pPr>
      <w:r>
        <w:rPr>
          <w:sz w:val="40"/>
          <w:szCs w:val="40"/>
        </w:rPr>
        <w:t xml:space="preserve">Compte rendu de la séance du conseil </w:t>
      </w:r>
      <w:proofErr w:type="gramStart"/>
      <w:r>
        <w:rPr>
          <w:sz w:val="40"/>
          <w:szCs w:val="40"/>
        </w:rPr>
        <w:t xml:space="preserve">municipal </w:t>
      </w:r>
      <w:r w:rsidRPr="00FA4AB1">
        <w:rPr>
          <w:sz w:val="40"/>
          <w:szCs w:val="40"/>
        </w:rPr>
        <w:t xml:space="preserve"> </w:t>
      </w:r>
      <w:r>
        <w:rPr>
          <w:sz w:val="40"/>
          <w:szCs w:val="40"/>
        </w:rPr>
        <w:t>du</w:t>
      </w:r>
      <w:proofErr w:type="gramEnd"/>
      <w:r>
        <w:rPr>
          <w:sz w:val="40"/>
          <w:szCs w:val="40"/>
        </w:rPr>
        <w:t xml:space="preserve"> </w:t>
      </w:r>
      <w:r w:rsidRPr="00FA4AB1">
        <w:rPr>
          <w:sz w:val="40"/>
          <w:szCs w:val="40"/>
        </w:rPr>
        <w:t xml:space="preserve"> 23 A</w:t>
      </w:r>
      <w:r>
        <w:rPr>
          <w:sz w:val="40"/>
          <w:szCs w:val="40"/>
        </w:rPr>
        <w:t>vril</w:t>
      </w:r>
      <w:r w:rsidRPr="00FA4AB1">
        <w:rPr>
          <w:sz w:val="40"/>
          <w:szCs w:val="40"/>
        </w:rPr>
        <w:t xml:space="preserve"> 2026</w:t>
      </w:r>
      <w:r>
        <w:rPr>
          <w:sz w:val="40"/>
          <w:szCs w:val="40"/>
        </w:rPr>
        <w:t xml:space="preserve"> à 19h30</w:t>
      </w:r>
    </w:p>
    <w:p w14:paraId="6E613A10" w14:textId="77777777" w:rsidR="00FA4AB1" w:rsidRDefault="00FA4AB1"/>
    <w:p w14:paraId="19E83E38" w14:textId="37B4320F" w:rsidR="00FA4AB1" w:rsidRDefault="00FA4AB1">
      <w:r>
        <w:t>Convocations faites le 14/04/2026</w:t>
      </w:r>
      <w:r>
        <w:br/>
        <w:t>secrétaire de séance : Candice Boissenin</w:t>
      </w:r>
      <w:r>
        <w:br/>
      </w:r>
      <w:r w:rsidR="00447467">
        <w:t xml:space="preserve">Absents : Eric Feuvrier, excusé </w:t>
      </w:r>
    </w:p>
    <w:p w14:paraId="48FDC1CD" w14:textId="2B9E00F9" w:rsidR="00FA4AB1" w:rsidRDefault="00FA4AB1" w:rsidP="00FA4AB1">
      <w:pPr>
        <w:spacing w:after="0"/>
      </w:pPr>
      <w:r>
        <w:t>Ordre du jour :</w:t>
      </w:r>
    </w:p>
    <w:p w14:paraId="707B5F2D" w14:textId="77777777" w:rsidR="00FA4AB1" w:rsidRPr="008F7222" w:rsidRDefault="00FA4AB1" w:rsidP="00FA4AB1">
      <w:pPr>
        <w:pStyle w:val="Paragraphedeliste"/>
        <w:numPr>
          <w:ilvl w:val="2"/>
          <w:numId w:val="3"/>
        </w:numPr>
        <w:spacing w:after="0"/>
        <w:ind w:left="426"/>
        <w:rPr>
          <w:b/>
          <w:sz w:val="20"/>
          <w:szCs w:val="20"/>
        </w:rPr>
      </w:pPr>
      <w:r w:rsidRPr="008F7222">
        <w:rPr>
          <w:b/>
          <w:sz w:val="20"/>
          <w:szCs w:val="20"/>
        </w:rPr>
        <w:t>Compte financier unique 2025 budget principal</w:t>
      </w:r>
    </w:p>
    <w:p w14:paraId="47FF2ED1" w14:textId="77777777" w:rsidR="00FA4AB1" w:rsidRPr="008F7222" w:rsidRDefault="00FA4AB1" w:rsidP="00FA4AB1">
      <w:pPr>
        <w:pStyle w:val="Paragraphedeliste"/>
        <w:numPr>
          <w:ilvl w:val="2"/>
          <w:numId w:val="3"/>
        </w:numPr>
        <w:spacing w:after="0"/>
        <w:ind w:left="426"/>
        <w:rPr>
          <w:b/>
          <w:sz w:val="20"/>
          <w:szCs w:val="20"/>
        </w:rPr>
      </w:pPr>
      <w:r w:rsidRPr="008F7222">
        <w:rPr>
          <w:b/>
          <w:sz w:val="20"/>
          <w:szCs w:val="20"/>
        </w:rPr>
        <w:t xml:space="preserve">Budget Primitif 2026 </w:t>
      </w:r>
    </w:p>
    <w:p w14:paraId="23B3F04E" w14:textId="77777777" w:rsidR="00FA4AB1" w:rsidRPr="008F7222" w:rsidRDefault="00FA4AB1" w:rsidP="00FA4AB1">
      <w:pPr>
        <w:pStyle w:val="Paragraphedeliste"/>
        <w:numPr>
          <w:ilvl w:val="2"/>
          <w:numId w:val="3"/>
        </w:numPr>
        <w:spacing w:after="0"/>
        <w:ind w:left="426"/>
        <w:rPr>
          <w:b/>
          <w:sz w:val="20"/>
          <w:szCs w:val="20"/>
        </w:rPr>
      </w:pPr>
      <w:r w:rsidRPr="008F7222">
        <w:rPr>
          <w:b/>
          <w:sz w:val="20"/>
          <w:szCs w:val="20"/>
        </w:rPr>
        <w:t>Vote des taxes directes locales</w:t>
      </w:r>
    </w:p>
    <w:p w14:paraId="491694C9" w14:textId="77777777" w:rsidR="00FA4AB1" w:rsidRPr="008F7222" w:rsidRDefault="00FA4AB1" w:rsidP="00FA4AB1">
      <w:pPr>
        <w:pStyle w:val="Paragraphedeliste"/>
        <w:numPr>
          <w:ilvl w:val="2"/>
          <w:numId w:val="3"/>
        </w:numPr>
        <w:spacing w:after="0"/>
        <w:ind w:left="426"/>
        <w:rPr>
          <w:b/>
          <w:sz w:val="20"/>
          <w:szCs w:val="20"/>
        </w:rPr>
      </w:pPr>
      <w:r w:rsidRPr="008F7222">
        <w:rPr>
          <w:b/>
          <w:sz w:val="20"/>
          <w:szCs w:val="20"/>
        </w:rPr>
        <w:t>Prix de locations de salles</w:t>
      </w:r>
    </w:p>
    <w:p w14:paraId="0256C28F" w14:textId="77777777" w:rsidR="00FA4AB1" w:rsidRPr="008F7222" w:rsidRDefault="00FA4AB1" w:rsidP="00FA4AB1">
      <w:pPr>
        <w:pStyle w:val="Paragraphedeliste"/>
        <w:numPr>
          <w:ilvl w:val="2"/>
          <w:numId w:val="3"/>
        </w:numPr>
        <w:spacing w:after="0"/>
        <w:ind w:left="426"/>
        <w:rPr>
          <w:b/>
          <w:sz w:val="20"/>
          <w:szCs w:val="20"/>
        </w:rPr>
      </w:pPr>
      <w:r w:rsidRPr="008F7222">
        <w:rPr>
          <w:b/>
          <w:sz w:val="20"/>
          <w:szCs w:val="20"/>
        </w:rPr>
        <w:t>Projet Médiathèque : avancement des travaux</w:t>
      </w:r>
    </w:p>
    <w:p w14:paraId="55728BC4" w14:textId="77777777" w:rsidR="00FA4AB1" w:rsidRPr="008F7222" w:rsidRDefault="00FA4AB1" w:rsidP="00FA4AB1">
      <w:pPr>
        <w:pStyle w:val="Paragraphedeliste"/>
        <w:numPr>
          <w:ilvl w:val="2"/>
          <w:numId w:val="3"/>
        </w:numPr>
        <w:spacing w:after="0"/>
        <w:ind w:left="426"/>
        <w:rPr>
          <w:b/>
          <w:sz w:val="20"/>
          <w:szCs w:val="20"/>
        </w:rPr>
      </w:pPr>
      <w:r w:rsidRPr="008F7222">
        <w:rPr>
          <w:b/>
          <w:sz w:val="20"/>
          <w:szCs w:val="20"/>
        </w:rPr>
        <w:t>Recrutements : bibliothécaire et remplacement secrétariat de mairie. Création de poste et modification de la délibération du RIFSEEP</w:t>
      </w:r>
    </w:p>
    <w:p w14:paraId="2668B14E" w14:textId="77777777" w:rsidR="00FA4AB1" w:rsidRPr="008F7222" w:rsidRDefault="00FA4AB1" w:rsidP="00FA4AB1">
      <w:pPr>
        <w:pStyle w:val="Paragraphedeliste"/>
        <w:numPr>
          <w:ilvl w:val="2"/>
          <w:numId w:val="3"/>
        </w:numPr>
        <w:spacing w:after="0"/>
        <w:ind w:left="426"/>
        <w:rPr>
          <w:b/>
          <w:sz w:val="20"/>
          <w:szCs w:val="20"/>
        </w:rPr>
      </w:pPr>
      <w:r w:rsidRPr="008F7222">
        <w:rPr>
          <w:b/>
          <w:bCs/>
          <w:sz w:val="20"/>
          <w:szCs w:val="20"/>
        </w:rPr>
        <w:t>Questions diverses</w:t>
      </w:r>
    </w:p>
    <w:p w14:paraId="725D79E9" w14:textId="77777777" w:rsidR="00FA4AB1" w:rsidRPr="00447467" w:rsidRDefault="00FA4AB1" w:rsidP="00FA4AB1">
      <w:pPr>
        <w:spacing w:after="0"/>
        <w:rPr>
          <w:b/>
          <w:sz w:val="28"/>
          <w:szCs w:val="28"/>
        </w:rPr>
      </w:pPr>
    </w:p>
    <w:p w14:paraId="2DB6D1D2" w14:textId="785A4B66" w:rsidR="00FA4AB1" w:rsidRPr="00447467" w:rsidRDefault="00FA4AB1" w:rsidP="00447467">
      <w:pPr>
        <w:pStyle w:val="Paragraphedeliste"/>
        <w:numPr>
          <w:ilvl w:val="0"/>
          <w:numId w:val="4"/>
        </w:numPr>
        <w:spacing w:after="0"/>
        <w:ind w:left="284"/>
        <w:rPr>
          <w:b/>
          <w:sz w:val="28"/>
          <w:szCs w:val="28"/>
        </w:rPr>
      </w:pPr>
      <w:r w:rsidRPr="00447467">
        <w:rPr>
          <w:b/>
          <w:sz w:val="28"/>
          <w:szCs w:val="28"/>
        </w:rPr>
        <w:t xml:space="preserve">Approbation du </w:t>
      </w:r>
      <w:proofErr w:type="spellStart"/>
      <w:r w:rsidRPr="00447467">
        <w:rPr>
          <w:b/>
          <w:sz w:val="28"/>
          <w:szCs w:val="28"/>
        </w:rPr>
        <w:t>procès verbal</w:t>
      </w:r>
      <w:proofErr w:type="spellEnd"/>
      <w:r w:rsidRPr="00447467">
        <w:rPr>
          <w:b/>
          <w:sz w:val="28"/>
          <w:szCs w:val="28"/>
        </w:rPr>
        <w:t xml:space="preserve"> du conseil municipal du 27 mars 2026</w:t>
      </w:r>
    </w:p>
    <w:p w14:paraId="4E150C51" w14:textId="5211094F" w:rsidR="00FA4AB1" w:rsidRDefault="00FA4AB1" w:rsidP="00FA4AB1">
      <w:pPr>
        <w:pStyle w:val="Paragraphedeliste"/>
        <w:spacing w:after="0"/>
        <w:rPr>
          <w:bCs/>
        </w:rPr>
      </w:pPr>
      <w:r w:rsidRPr="00FA4AB1">
        <w:rPr>
          <w:bCs/>
        </w:rPr>
        <w:t xml:space="preserve">Le conseil municipal approuve à l’unanimité le </w:t>
      </w:r>
      <w:proofErr w:type="spellStart"/>
      <w:r w:rsidRPr="00FA4AB1">
        <w:rPr>
          <w:bCs/>
        </w:rPr>
        <w:t>procès verbal</w:t>
      </w:r>
      <w:proofErr w:type="spellEnd"/>
      <w:r w:rsidRPr="00FA4AB1">
        <w:rPr>
          <w:bCs/>
        </w:rPr>
        <w:t xml:space="preserve"> du 27 mars 2026</w:t>
      </w:r>
    </w:p>
    <w:p w14:paraId="59AE44BD" w14:textId="77777777" w:rsidR="00FA4AB1" w:rsidRPr="00FA4AB1" w:rsidRDefault="00FA4AB1" w:rsidP="00FA4AB1">
      <w:pPr>
        <w:pStyle w:val="Paragraphedeliste"/>
        <w:spacing w:after="0"/>
        <w:rPr>
          <w:bCs/>
        </w:rPr>
      </w:pPr>
    </w:p>
    <w:p w14:paraId="415521BB" w14:textId="3BAD8149" w:rsidR="00FA4AB1" w:rsidRPr="00447467" w:rsidRDefault="00FA4AB1" w:rsidP="00447467">
      <w:pPr>
        <w:pStyle w:val="Paragraphedeliste"/>
        <w:numPr>
          <w:ilvl w:val="0"/>
          <w:numId w:val="4"/>
        </w:numPr>
        <w:spacing w:after="0"/>
        <w:ind w:left="284"/>
        <w:rPr>
          <w:b/>
          <w:sz w:val="28"/>
          <w:szCs w:val="28"/>
        </w:rPr>
      </w:pPr>
      <w:r w:rsidRPr="00447467">
        <w:rPr>
          <w:b/>
          <w:sz w:val="28"/>
          <w:szCs w:val="28"/>
        </w:rPr>
        <w:t>CFU 2025 Budget principal</w:t>
      </w:r>
    </w:p>
    <w:p w14:paraId="45647DD2" w14:textId="23613D0B" w:rsidR="00FA4AB1" w:rsidRPr="00FA4AB1" w:rsidRDefault="00FA4AB1" w:rsidP="0072000B">
      <w:pPr>
        <w:jc w:val="both"/>
        <w:rPr>
          <w:bCs/>
          <w:iCs/>
        </w:rPr>
      </w:pPr>
      <w:r w:rsidRPr="00FA4AB1">
        <w:rPr>
          <w:bCs/>
          <w:iCs/>
        </w:rPr>
        <w:t>L’adjoint, Hervé Viennet, soumet à l’assemblée délibérante le CFU 202</w:t>
      </w:r>
      <w:r w:rsidR="008302CD">
        <w:rPr>
          <w:bCs/>
          <w:iCs/>
        </w:rPr>
        <w:t>5</w:t>
      </w:r>
      <w:r w:rsidRPr="00FA4AB1">
        <w:rPr>
          <w:bCs/>
          <w:iCs/>
        </w:rPr>
        <w:t xml:space="preserve"> du budget principal :</w:t>
      </w:r>
    </w:p>
    <w:tbl>
      <w:tblPr>
        <w:tblW w:w="8222" w:type="dxa"/>
        <w:tblInd w:w="-15" w:type="dxa"/>
        <w:tblLayout w:type="fixed"/>
        <w:tblCellMar>
          <w:left w:w="70" w:type="dxa"/>
          <w:right w:w="70" w:type="dxa"/>
        </w:tblCellMar>
        <w:tblLook w:val="04A0" w:firstRow="1" w:lastRow="0" w:firstColumn="1" w:lastColumn="0" w:noHBand="0" w:noVBand="1"/>
      </w:tblPr>
      <w:tblGrid>
        <w:gridCol w:w="1418"/>
        <w:gridCol w:w="2268"/>
        <w:gridCol w:w="2126"/>
        <w:gridCol w:w="2410"/>
      </w:tblGrid>
      <w:tr w:rsidR="00FA4AB1" w:rsidRPr="00FA4AB1" w14:paraId="7A016404" w14:textId="4741E748" w:rsidTr="00447467">
        <w:trPr>
          <w:trHeight w:val="20"/>
        </w:trPr>
        <w:tc>
          <w:tcPr>
            <w:tcW w:w="1418" w:type="dxa"/>
            <w:tcBorders>
              <w:top w:val="single" w:sz="12" w:space="0" w:color="auto"/>
              <w:left w:val="single" w:sz="12" w:space="0" w:color="auto"/>
              <w:bottom w:val="single" w:sz="6" w:space="0" w:color="auto"/>
              <w:right w:val="single" w:sz="6" w:space="0" w:color="auto"/>
            </w:tcBorders>
          </w:tcPr>
          <w:p w14:paraId="3B3BB86E" w14:textId="77777777" w:rsidR="00FA4AB1" w:rsidRPr="00FA4AB1" w:rsidRDefault="00FA4AB1" w:rsidP="0072000B">
            <w:pPr>
              <w:spacing w:after="0"/>
              <w:jc w:val="both"/>
              <w:rPr>
                <w:bCs/>
              </w:rPr>
            </w:pPr>
          </w:p>
        </w:tc>
        <w:tc>
          <w:tcPr>
            <w:tcW w:w="2268" w:type="dxa"/>
            <w:tcBorders>
              <w:top w:val="single" w:sz="12" w:space="0" w:color="auto"/>
              <w:left w:val="single" w:sz="6" w:space="0" w:color="auto"/>
              <w:bottom w:val="nil"/>
              <w:right w:val="single" w:sz="4" w:space="0" w:color="auto"/>
            </w:tcBorders>
            <w:hideMark/>
          </w:tcPr>
          <w:p w14:paraId="7D1F3750" w14:textId="77777777" w:rsidR="00FA4AB1" w:rsidRPr="00FA4AB1" w:rsidRDefault="00FA4AB1" w:rsidP="00447467">
            <w:pPr>
              <w:spacing w:after="0"/>
              <w:jc w:val="right"/>
              <w:rPr>
                <w:bCs/>
              </w:rPr>
            </w:pPr>
            <w:r w:rsidRPr="00FA4AB1">
              <w:rPr>
                <w:bCs/>
              </w:rPr>
              <w:t>Section de Fonctionnement</w:t>
            </w:r>
          </w:p>
        </w:tc>
        <w:tc>
          <w:tcPr>
            <w:tcW w:w="2126" w:type="dxa"/>
            <w:tcBorders>
              <w:top w:val="single" w:sz="12" w:space="0" w:color="auto"/>
              <w:left w:val="single" w:sz="4" w:space="0" w:color="auto"/>
              <w:bottom w:val="nil"/>
              <w:right w:val="single" w:sz="4" w:space="0" w:color="auto"/>
            </w:tcBorders>
            <w:hideMark/>
          </w:tcPr>
          <w:p w14:paraId="3199F2B9" w14:textId="6690FCEF" w:rsidR="00FA4AB1" w:rsidRPr="00FA4AB1" w:rsidRDefault="00FA4AB1" w:rsidP="00447467">
            <w:pPr>
              <w:spacing w:after="0"/>
              <w:jc w:val="right"/>
              <w:rPr>
                <w:bCs/>
              </w:rPr>
            </w:pPr>
            <w:r w:rsidRPr="00FA4AB1">
              <w:rPr>
                <w:bCs/>
              </w:rPr>
              <w:t>Section d’investissement</w:t>
            </w:r>
          </w:p>
        </w:tc>
        <w:tc>
          <w:tcPr>
            <w:tcW w:w="2410" w:type="dxa"/>
            <w:tcBorders>
              <w:top w:val="single" w:sz="12" w:space="0" w:color="auto"/>
              <w:left w:val="single" w:sz="4" w:space="0" w:color="auto"/>
              <w:bottom w:val="nil"/>
              <w:right w:val="single" w:sz="4" w:space="0" w:color="auto"/>
            </w:tcBorders>
          </w:tcPr>
          <w:p w14:paraId="465299EF" w14:textId="2AF39F6C" w:rsidR="00FA4AB1" w:rsidRPr="00FA4AB1" w:rsidRDefault="00FA4AB1" w:rsidP="00447467">
            <w:pPr>
              <w:spacing w:after="0"/>
              <w:jc w:val="right"/>
              <w:rPr>
                <w:bCs/>
              </w:rPr>
            </w:pPr>
            <w:r>
              <w:rPr>
                <w:bCs/>
              </w:rPr>
              <w:t xml:space="preserve">Crédits à reportés investissement </w:t>
            </w:r>
          </w:p>
        </w:tc>
      </w:tr>
      <w:tr w:rsidR="00FA4AB1" w:rsidRPr="00FA4AB1" w14:paraId="76823C3F" w14:textId="69E84B6D" w:rsidTr="00447467">
        <w:trPr>
          <w:trHeight w:val="20"/>
        </w:trPr>
        <w:tc>
          <w:tcPr>
            <w:tcW w:w="1418" w:type="dxa"/>
            <w:tcBorders>
              <w:top w:val="single" w:sz="6" w:space="0" w:color="auto"/>
              <w:left w:val="single" w:sz="12" w:space="0" w:color="auto"/>
              <w:bottom w:val="nil"/>
              <w:right w:val="single" w:sz="6" w:space="0" w:color="auto"/>
            </w:tcBorders>
            <w:hideMark/>
          </w:tcPr>
          <w:p w14:paraId="2266F23A" w14:textId="77777777" w:rsidR="00FA4AB1" w:rsidRPr="00FA4AB1" w:rsidRDefault="00FA4AB1" w:rsidP="0072000B">
            <w:pPr>
              <w:spacing w:after="0"/>
              <w:jc w:val="both"/>
              <w:rPr>
                <w:bCs/>
              </w:rPr>
            </w:pPr>
            <w:r w:rsidRPr="00FA4AB1">
              <w:rPr>
                <w:bCs/>
              </w:rPr>
              <w:t>Dépenses</w:t>
            </w:r>
          </w:p>
        </w:tc>
        <w:tc>
          <w:tcPr>
            <w:tcW w:w="2268" w:type="dxa"/>
            <w:tcBorders>
              <w:top w:val="single" w:sz="6" w:space="0" w:color="auto"/>
              <w:left w:val="single" w:sz="6" w:space="0" w:color="auto"/>
              <w:bottom w:val="single" w:sz="6" w:space="0" w:color="auto"/>
              <w:right w:val="single" w:sz="4" w:space="0" w:color="auto"/>
            </w:tcBorders>
            <w:hideMark/>
          </w:tcPr>
          <w:p w14:paraId="62676FD0" w14:textId="46AA0BC2" w:rsidR="00FA4AB1" w:rsidRPr="00FA4AB1" w:rsidRDefault="00FA4AB1" w:rsidP="00447467">
            <w:pPr>
              <w:spacing w:after="0"/>
              <w:jc w:val="right"/>
              <w:rPr>
                <w:bCs/>
              </w:rPr>
            </w:pPr>
            <w:proofErr w:type="gramStart"/>
            <w:r w:rsidRPr="00FA4AB1">
              <w:rPr>
                <w:bCs/>
              </w:rPr>
              <w:t>822</w:t>
            </w:r>
            <w:r>
              <w:rPr>
                <w:bCs/>
              </w:rPr>
              <w:t>  958</w:t>
            </w:r>
            <w:proofErr w:type="gramEnd"/>
            <w:r>
              <w:rPr>
                <w:bCs/>
              </w:rPr>
              <w:t>.78</w:t>
            </w:r>
          </w:p>
        </w:tc>
        <w:tc>
          <w:tcPr>
            <w:tcW w:w="2126" w:type="dxa"/>
            <w:tcBorders>
              <w:top w:val="single" w:sz="6" w:space="0" w:color="auto"/>
              <w:left w:val="single" w:sz="4" w:space="0" w:color="auto"/>
              <w:bottom w:val="single" w:sz="6" w:space="0" w:color="auto"/>
              <w:right w:val="single" w:sz="4" w:space="0" w:color="auto"/>
            </w:tcBorders>
            <w:hideMark/>
          </w:tcPr>
          <w:p w14:paraId="3539691D" w14:textId="1C00FABF" w:rsidR="00FA4AB1" w:rsidRPr="00FA4AB1" w:rsidRDefault="00FA4AB1" w:rsidP="00447467">
            <w:pPr>
              <w:spacing w:after="0"/>
              <w:jc w:val="right"/>
              <w:rPr>
                <w:bCs/>
              </w:rPr>
            </w:pPr>
            <w:r>
              <w:rPr>
                <w:bCs/>
              </w:rPr>
              <w:t>526 086.05</w:t>
            </w:r>
          </w:p>
        </w:tc>
        <w:tc>
          <w:tcPr>
            <w:tcW w:w="2410" w:type="dxa"/>
            <w:tcBorders>
              <w:top w:val="single" w:sz="6" w:space="0" w:color="auto"/>
              <w:left w:val="single" w:sz="4" w:space="0" w:color="auto"/>
              <w:bottom w:val="single" w:sz="6" w:space="0" w:color="auto"/>
              <w:right w:val="single" w:sz="4" w:space="0" w:color="auto"/>
            </w:tcBorders>
          </w:tcPr>
          <w:p w14:paraId="0FA27A21" w14:textId="753AF54C" w:rsidR="00FA4AB1" w:rsidRPr="00FA4AB1" w:rsidRDefault="00FA4AB1" w:rsidP="00447467">
            <w:pPr>
              <w:spacing w:after="0"/>
              <w:jc w:val="right"/>
              <w:rPr>
                <w:bCs/>
              </w:rPr>
            </w:pPr>
            <w:r>
              <w:rPr>
                <w:bCs/>
              </w:rPr>
              <w:t>667</w:t>
            </w:r>
            <w:r w:rsidR="00447467">
              <w:rPr>
                <w:bCs/>
              </w:rPr>
              <w:t> </w:t>
            </w:r>
            <w:r>
              <w:rPr>
                <w:bCs/>
              </w:rPr>
              <w:t>000</w:t>
            </w:r>
            <w:r w:rsidR="00447467">
              <w:rPr>
                <w:bCs/>
              </w:rPr>
              <w:t>.00</w:t>
            </w:r>
            <w:r>
              <w:rPr>
                <w:bCs/>
              </w:rPr>
              <w:t xml:space="preserve"> €</w:t>
            </w:r>
          </w:p>
        </w:tc>
      </w:tr>
      <w:tr w:rsidR="00FA4AB1" w:rsidRPr="00FA4AB1" w14:paraId="0E77985F" w14:textId="6733FC2F" w:rsidTr="00447467">
        <w:trPr>
          <w:trHeight w:val="20"/>
        </w:trPr>
        <w:tc>
          <w:tcPr>
            <w:tcW w:w="1418" w:type="dxa"/>
            <w:tcBorders>
              <w:top w:val="single" w:sz="6" w:space="0" w:color="auto"/>
              <w:left w:val="single" w:sz="12" w:space="0" w:color="auto"/>
              <w:bottom w:val="single" w:sz="24" w:space="0" w:color="auto"/>
              <w:right w:val="single" w:sz="6" w:space="0" w:color="auto"/>
            </w:tcBorders>
            <w:hideMark/>
          </w:tcPr>
          <w:p w14:paraId="7D4E3E5C" w14:textId="77777777" w:rsidR="00FA4AB1" w:rsidRPr="00FA4AB1" w:rsidRDefault="00FA4AB1" w:rsidP="0072000B">
            <w:pPr>
              <w:spacing w:after="0"/>
              <w:jc w:val="both"/>
              <w:rPr>
                <w:bCs/>
              </w:rPr>
            </w:pPr>
            <w:r w:rsidRPr="00FA4AB1">
              <w:rPr>
                <w:bCs/>
              </w:rPr>
              <w:t>Recettes</w:t>
            </w:r>
          </w:p>
        </w:tc>
        <w:tc>
          <w:tcPr>
            <w:tcW w:w="2268" w:type="dxa"/>
            <w:tcBorders>
              <w:top w:val="single" w:sz="6" w:space="0" w:color="auto"/>
              <w:left w:val="single" w:sz="6" w:space="0" w:color="auto"/>
              <w:bottom w:val="nil"/>
              <w:right w:val="single" w:sz="4" w:space="0" w:color="auto"/>
            </w:tcBorders>
            <w:hideMark/>
          </w:tcPr>
          <w:p w14:paraId="3DBB4AD4" w14:textId="674B0955" w:rsidR="00FA4AB1" w:rsidRPr="00FA4AB1" w:rsidRDefault="00FA4AB1" w:rsidP="00447467">
            <w:pPr>
              <w:spacing w:after="0"/>
              <w:jc w:val="right"/>
              <w:rPr>
                <w:bCs/>
              </w:rPr>
            </w:pPr>
            <w:r>
              <w:rPr>
                <w:bCs/>
              </w:rPr>
              <w:t>1 390 960.17</w:t>
            </w:r>
          </w:p>
        </w:tc>
        <w:tc>
          <w:tcPr>
            <w:tcW w:w="2126" w:type="dxa"/>
            <w:tcBorders>
              <w:top w:val="single" w:sz="6" w:space="0" w:color="auto"/>
              <w:left w:val="single" w:sz="4" w:space="0" w:color="auto"/>
              <w:bottom w:val="single" w:sz="24" w:space="0" w:color="auto"/>
              <w:right w:val="single" w:sz="4" w:space="0" w:color="auto"/>
            </w:tcBorders>
            <w:hideMark/>
          </w:tcPr>
          <w:p w14:paraId="55328726" w14:textId="63982FA8" w:rsidR="00FA4AB1" w:rsidRPr="00FA4AB1" w:rsidRDefault="00FA4AB1" w:rsidP="00447467">
            <w:pPr>
              <w:spacing w:after="0"/>
              <w:jc w:val="right"/>
              <w:rPr>
                <w:bCs/>
              </w:rPr>
            </w:pPr>
            <w:r>
              <w:rPr>
                <w:bCs/>
              </w:rPr>
              <w:t>337 675.90</w:t>
            </w:r>
          </w:p>
        </w:tc>
        <w:tc>
          <w:tcPr>
            <w:tcW w:w="2410" w:type="dxa"/>
            <w:tcBorders>
              <w:top w:val="single" w:sz="6" w:space="0" w:color="auto"/>
              <w:left w:val="single" w:sz="4" w:space="0" w:color="auto"/>
              <w:bottom w:val="single" w:sz="24" w:space="0" w:color="auto"/>
              <w:right w:val="single" w:sz="4" w:space="0" w:color="auto"/>
            </w:tcBorders>
          </w:tcPr>
          <w:p w14:paraId="505E79C1" w14:textId="77777777" w:rsidR="00FA4AB1" w:rsidRPr="00FA4AB1" w:rsidRDefault="00FA4AB1" w:rsidP="00447467">
            <w:pPr>
              <w:spacing w:after="0"/>
              <w:jc w:val="right"/>
              <w:rPr>
                <w:bCs/>
              </w:rPr>
            </w:pPr>
          </w:p>
        </w:tc>
      </w:tr>
      <w:tr w:rsidR="00FA4AB1" w:rsidRPr="00FA4AB1" w14:paraId="452607E5" w14:textId="5371C36B" w:rsidTr="00447467">
        <w:trPr>
          <w:trHeight w:val="20"/>
        </w:trPr>
        <w:tc>
          <w:tcPr>
            <w:tcW w:w="1418" w:type="dxa"/>
            <w:tcBorders>
              <w:top w:val="nil"/>
              <w:left w:val="single" w:sz="12" w:space="0" w:color="auto"/>
              <w:bottom w:val="single" w:sz="6" w:space="0" w:color="auto"/>
              <w:right w:val="single" w:sz="6" w:space="0" w:color="auto"/>
            </w:tcBorders>
            <w:hideMark/>
          </w:tcPr>
          <w:p w14:paraId="1D1D26A4" w14:textId="77777777" w:rsidR="00FA4AB1" w:rsidRPr="00FA4AB1" w:rsidRDefault="00FA4AB1" w:rsidP="0072000B">
            <w:pPr>
              <w:spacing w:after="0"/>
              <w:jc w:val="both"/>
              <w:rPr>
                <w:bCs/>
              </w:rPr>
            </w:pPr>
            <w:r w:rsidRPr="00FA4AB1">
              <w:rPr>
                <w:bCs/>
              </w:rPr>
              <w:t>Excédent</w:t>
            </w:r>
          </w:p>
        </w:tc>
        <w:tc>
          <w:tcPr>
            <w:tcW w:w="2268" w:type="dxa"/>
            <w:tcBorders>
              <w:top w:val="single" w:sz="24" w:space="0" w:color="auto"/>
              <w:left w:val="single" w:sz="6" w:space="0" w:color="auto"/>
              <w:bottom w:val="single" w:sz="6" w:space="0" w:color="auto"/>
              <w:right w:val="single" w:sz="4" w:space="0" w:color="auto"/>
            </w:tcBorders>
            <w:hideMark/>
          </w:tcPr>
          <w:p w14:paraId="026028EA" w14:textId="1F64AC67" w:rsidR="00FA4AB1" w:rsidRPr="00FA4AB1" w:rsidRDefault="00FA4AB1" w:rsidP="00447467">
            <w:pPr>
              <w:spacing w:after="0"/>
              <w:jc w:val="right"/>
              <w:rPr>
                <w:bCs/>
              </w:rPr>
            </w:pPr>
            <w:r>
              <w:rPr>
                <w:bCs/>
              </w:rPr>
              <w:t>568 001.39</w:t>
            </w:r>
          </w:p>
        </w:tc>
        <w:tc>
          <w:tcPr>
            <w:tcW w:w="2126" w:type="dxa"/>
            <w:tcBorders>
              <w:top w:val="nil"/>
              <w:left w:val="single" w:sz="4" w:space="0" w:color="auto"/>
              <w:bottom w:val="single" w:sz="6" w:space="0" w:color="auto"/>
              <w:right w:val="single" w:sz="4" w:space="0" w:color="auto"/>
            </w:tcBorders>
          </w:tcPr>
          <w:p w14:paraId="3E0E497D" w14:textId="336B3907" w:rsidR="00FA4AB1" w:rsidRPr="00FA4AB1" w:rsidRDefault="00FA4AB1" w:rsidP="00447467">
            <w:pPr>
              <w:spacing w:after="0"/>
              <w:jc w:val="right"/>
              <w:rPr>
                <w:bCs/>
              </w:rPr>
            </w:pPr>
          </w:p>
        </w:tc>
        <w:tc>
          <w:tcPr>
            <w:tcW w:w="2410" w:type="dxa"/>
            <w:tcBorders>
              <w:top w:val="nil"/>
              <w:left w:val="single" w:sz="4" w:space="0" w:color="auto"/>
              <w:bottom w:val="single" w:sz="6" w:space="0" w:color="auto"/>
              <w:right w:val="single" w:sz="4" w:space="0" w:color="auto"/>
            </w:tcBorders>
          </w:tcPr>
          <w:p w14:paraId="4E62C5B3" w14:textId="77777777" w:rsidR="00FA4AB1" w:rsidRPr="00FA4AB1" w:rsidRDefault="00FA4AB1" w:rsidP="00447467">
            <w:pPr>
              <w:spacing w:after="0"/>
              <w:jc w:val="right"/>
              <w:rPr>
                <w:bCs/>
              </w:rPr>
            </w:pPr>
          </w:p>
        </w:tc>
      </w:tr>
      <w:tr w:rsidR="00FA4AB1" w:rsidRPr="00FA4AB1" w14:paraId="6D958DCA" w14:textId="3E473819" w:rsidTr="00447467">
        <w:trPr>
          <w:trHeight w:val="20"/>
        </w:trPr>
        <w:tc>
          <w:tcPr>
            <w:tcW w:w="1418" w:type="dxa"/>
            <w:tcBorders>
              <w:top w:val="single" w:sz="6" w:space="0" w:color="auto"/>
              <w:left w:val="single" w:sz="12" w:space="0" w:color="auto"/>
              <w:bottom w:val="single" w:sz="12" w:space="0" w:color="auto"/>
              <w:right w:val="single" w:sz="6" w:space="0" w:color="auto"/>
            </w:tcBorders>
            <w:hideMark/>
          </w:tcPr>
          <w:p w14:paraId="5F09B19C" w14:textId="77777777" w:rsidR="00FA4AB1" w:rsidRPr="00FA4AB1" w:rsidRDefault="00FA4AB1" w:rsidP="0072000B">
            <w:pPr>
              <w:spacing w:after="0"/>
              <w:jc w:val="both"/>
              <w:rPr>
                <w:bCs/>
              </w:rPr>
            </w:pPr>
            <w:r w:rsidRPr="00FA4AB1">
              <w:rPr>
                <w:bCs/>
              </w:rPr>
              <w:t>Déficit</w:t>
            </w:r>
          </w:p>
        </w:tc>
        <w:tc>
          <w:tcPr>
            <w:tcW w:w="2268" w:type="dxa"/>
            <w:tcBorders>
              <w:top w:val="single" w:sz="6" w:space="0" w:color="auto"/>
              <w:left w:val="single" w:sz="6" w:space="0" w:color="auto"/>
              <w:bottom w:val="single" w:sz="12" w:space="0" w:color="auto"/>
              <w:right w:val="single" w:sz="6" w:space="0" w:color="auto"/>
            </w:tcBorders>
          </w:tcPr>
          <w:p w14:paraId="11EF8A36" w14:textId="77777777" w:rsidR="00FA4AB1" w:rsidRPr="00FA4AB1" w:rsidRDefault="00FA4AB1" w:rsidP="00447467">
            <w:pPr>
              <w:spacing w:after="0"/>
              <w:jc w:val="right"/>
              <w:rPr>
                <w:bCs/>
              </w:rPr>
            </w:pPr>
          </w:p>
        </w:tc>
        <w:tc>
          <w:tcPr>
            <w:tcW w:w="2126" w:type="dxa"/>
            <w:tcBorders>
              <w:top w:val="single" w:sz="6" w:space="0" w:color="auto"/>
              <w:left w:val="single" w:sz="6" w:space="0" w:color="auto"/>
              <w:bottom w:val="single" w:sz="12" w:space="0" w:color="auto"/>
              <w:right w:val="single" w:sz="4" w:space="0" w:color="auto"/>
            </w:tcBorders>
            <w:hideMark/>
          </w:tcPr>
          <w:p w14:paraId="2D95F99B" w14:textId="47E61AD8" w:rsidR="00FA4AB1" w:rsidRPr="00FA4AB1" w:rsidRDefault="00FA4AB1" w:rsidP="00447467">
            <w:pPr>
              <w:spacing w:after="0"/>
              <w:jc w:val="right"/>
              <w:rPr>
                <w:bCs/>
              </w:rPr>
            </w:pPr>
            <w:proofErr w:type="gramStart"/>
            <w:r>
              <w:rPr>
                <w:bCs/>
              </w:rPr>
              <w:t>188  410.15</w:t>
            </w:r>
            <w:proofErr w:type="gramEnd"/>
            <w:r w:rsidRPr="00FA4AB1">
              <w:rPr>
                <w:bCs/>
              </w:rPr>
              <w:t xml:space="preserve">   </w:t>
            </w:r>
          </w:p>
        </w:tc>
        <w:tc>
          <w:tcPr>
            <w:tcW w:w="2410" w:type="dxa"/>
            <w:tcBorders>
              <w:top w:val="single" w:sz="6" w:space="0" w:color="auto"/>
              <w:left w:val="single" w:sz="4" w:space="0" w:color="auto"/>
              <w:bottom w:val="single" w:sz="12" w:space="0" w:color="auto"/>
              <w:right w:val="single" w:sz="4" w:space="0" w:color="auto"/>
            </w:tcBorders>
          </w:tcPr>
          <w:p w14:paraId="4D3FE947" w14:textId="77777777" w:rsidR="00FA4AB1" w:rsidRPr="00FA4AB1" w:rsidRDefault="00FA4AB1" w:rsidP="00447467">
            <w:pPr>
              <w:spacing w:after="0"/>
              <w:jc w:val="right"/>
              <w:rPr>
                <w:bCs/>
              </w:rPr>
            </w:pPr>
          </w:p>
        </w:tc>
      </w:tr>
    </w:tbl>
    <w:p w14:paraId="5CAEBFC2" w14:textId="36FF675E" w:rsidR="0072000B" w:rsidRDefault="00FA4AB1" w:rsidP="0072000B">
      <w:pPr>
        <w:spacing w:after="0"/>
        <w:jc w:val="both"/>
        <w:rPr>
          <w:bCs/>
        </w:rPr>
      </w:pPr>
      <w:r w:rsidRPr="00FA4AB1">
        <w:rPr>
          <w:bCs/>
        </w:rPr>
        <w:t xml:space="preserve">Excédent global : </w:t>
      </w:r>
      <w:r w:rsidR="00426FFF">
        <w:rPr>
          <w:bCs/>
        </w:rPr>
        <w:t>379 591.24</w:t>
      </w:r>
      <w:r w:rsidRPr="00FA4AB1">
        <w:rPr>
          <w:bCs/>
        </w:rPr>
        <w:t xml:space="preserve"> €.</w:t>
      </w:r>
    </w:p>
    <w:p w14:paraId="0A926761" w14:textId="77777777" w:rsidR="0072000B" w:rsidRDefault="0072000B" w:rsidP="0072000B">
      <w:pPr>
        <w:spacing w:after="0"/>
        <w:jc w:val="both"/>
        <w:rPr>
          <w:bCs/>
        </w:rPr>
      </w:pPr>
    </w:p>
    <w:p w14:paraId="244BB99A" w14:textId="686A9A4F" w:rsidR="00FA4AB1" w:rsidRPr="008302CD" w:rsidRDefault="00FA4AB1" w:rsidP="0072000B">
      <w:pPr>
        <w:jc w:val="both"/>
        <w:rPr>
          <w:bCs/>
        </w:rPr>
      </w:pPr>
      <w:r w:rsidRPr="008302CD">
        <w:rPr>
          <w:bCs/>
        </w:rPr>
        <w:t>Après présentation du CFU 202</w:t>
      </w:r>
      <w:r w:rsidR="008302CD" w:rsidRPr="008302CD">
        <w:rPr>
          <w:bCs/>
        </w:rPr>
        <w:t>5</w:t>
      </w:r>
      <w:r w:rsidRPr="008302CD">
        <w:rPr>
          <w:bCs/>
        </w:rPr>
        <w:t>, Mme le Maire, Valérie Pagnot, quitte la salle pour permettre à l’assemblée de voter.</w:t>
      </w:r>
    </w:p>
    <w:p w14:paraId="36A3B668" w14:textId="2636D8CA" w:rsidR="00FA4AB1" w:rsidRPr="00426FFF" w:rsidRDefault="00FA4AB1" w:rsidP="0072000B">
      <w:pPr>
        <w:jc w:val="both"/>
        <w:rPr>
          <w:bCs/>
        </w:rPr>
      </w:pPr>
      <w:r w:rsidRPr="00426FFF">
        <w:rPr>
          <w:bCs/>
        </w:rPr>
        <w:t>Le Conseil municipal après en avoir délibéré approuve le compte financier unique 202</w:t>
      </w:r>
      <w:r w:rsidR="008302CD">
        <w:rPr>
          <w:bCs/>
        </w:rPr>
        <w:t>5</w:t>
      </w:r>
      <w:r w:rsidRPr="00426FFF">
        <w:rPr>
          <w:bCs/>
        </w:rPr>
        <w:t xml:space="preserve"> du budget </w:t>
      </w:r>
      <w:proofErr w:type="gramStart"/>
      <w:r w:rsidRPr="00426FFF">
        <w:rPr>
          <w:bCs/>
        </w:rPr>
        <w:t>principal  à</w:t>
      </w:r>
      <w:proofErr w:type="gramEnd"/>
      <w:r w:rsidRPr="00426FFF">
        <w:rPr>
          <w:bCs/>
        </w:rPr>
        <w:t xml:space="preserve"> l’unanimité des votes par 1</w:t>
      </w:r>
      <w:r w:rsidR="0072000B">
        <w:rPr>
          <w:bCs/>
        </w:rPr>
        <w:t>3</w:t>
      </w:r>
      <w:r w:rsidRPr="00426FFF">
        <w:rPr>
          <w:bCs/>
        </w:rPr>
        <w:t xml:space="preserve"> voix pour</w:t>
      </w:r>
    </w:p>
    <w:p w14:paraId="419972A5" w14:textId="43E60391" w:rsidR="00FA4AB1" w:rsidRPr="00426FFF" w:rsidRDefault="00FA4AB1" w:rsidP="0072000B">
      <w:pPr>
        <w:jc w:val="both"/>
        <w:rPr>
          <w:bCs/>
        </w:rPr>
      </w:pPr>
      <w:r w:rsidRPr="00426FFF">
        <w:rPr>
          <w:bCs/>
        </w:rPr>
        <w:t>Le conseil municipal décide ensuite d’affecter les résultats du CFU 202</w:t>
      </w:r>
      <w:r w:rsidR="008302CD">
        <w:rPr>
          <w:bCs/>
        </w:rPr>
        <w:t>5</w:t>
      </w:r>
      <w:r w:rsidRPr="00426FFF">
        <w:rPr>
          <w:bCs/>
        </w:rPr>
        <w:t xml:space="preserve"> au budget primitif 202</w:t>
      </w:r>
      <w:r w:rsidR="008302CD">
        <w:rPr>
          <w:bCs/>
        </w:rPr>
        <w:t>6</w:t>
      </w:r>
      <w:r w:rsidR="00426FFF">
        <w:rPr>
          <w:bCs/>
        </w:rPr>
        <w:t xml:space="preserve">. A noter qu’à ces résultats s’ajoutent ceux du service assainissement, budget clôturé </w:t>
      </w:r>
      <w:proofErr w:type="gramStart"/>
      <w:r w:rsidR="00426FFF">
        <w:rPr>
          <w:bCs/>
        </w:rPr>
        <w:t>suite au</w:t>
      </w:r>
      <w:proofErr w:type="gramEnd"/>
      <w:r w:rsidR="00426FFF">
        <w:rPr>
          <w:bCs/>
        </w:rPr>
        <w:t xml:space="preserve"> transfert de la compétence assainissement à la Communauté de Communes du Plateau du Russey</w:t>
      </w:r>
    </w:p>
    <w:p w14:paraId="36D00CFE" w14:textId="1CE878A3" w:rsidR="00FA4AB1" w:rsidRPr="00426FFF" w:rsidRDefault="00FA4AB1" w:rsidP="0072000B">
      <w:pPr>
        <w:jc w:val="both"/>
        <w:rPr>
          <w:bCs/>
        </w:rPr>
      </w:pPr>
      <w:r w:rsidRPr="00426FFF">
        <w:rPr>
          <w:bCs/>
        </w:rPr>
        <w:t xml:space="preserve">Le déficit d’investissement de </w:t>
      </w:r>
      <w:r w:rsidR="00426FFF">
        <w:rPr>
          <w:bCs/>
        </w:rPr>
        <w:t>188 410.15</w:t>
      </w:r>
      <w:r w:rsidRPr="00426FFF">
        <w:rPr>
          <w:bCs/>
        </w:rPr>
        <w:t xml:space="preserve"> </w:t>
      </w:r>
      <w:r w:rsidR="00447467" w:rsidRPr="00426FFF">
        <w:rPr>
          <w:bCs/>
        </w:rPr>
        <w:t xml:space="preserve">€ </w:t>
      </w:r>
      <w:r w:rsidR="00447467">
        <w:rPr>
          <w:bCs/>
        </w:rPr>
        <w:t>diminué</w:t>
      </w:r>
      <w:r w:rsidR="00426FFF">
        <w:rPr>
          <w:bCs/>
        </w:rPr>
        <w:t xml:space="preserve"> de l’excédent d’investissement du service assainissement </w:t>
      </w:r>
      <w:r w:rsidR="00426FFF">
        <w:rPr>
          <w:bCs/>
        </w:rPr>
        <w:t xml:space="preserve">34 784.03 € </w:t>
      </w:r>
      <w:r w:rsidRPr="00426FFF">
        <w:rPr>
          <w:bCs/>
        </w:rPr>
        <w:t xml:space="preserve">sera reporté au compte </w:t>
      </w:r>
      <w:r w:rsidRPr="00426FFF">
        <w:rPr>
          <w:b/>
        </w:rPr>
        <w:t>001</w:t>
      </w:r>
      <w:r w:rsidRPr="00426FFF">
        <w:rPr>
          <w:bCs/>
        </w:rPr>
        <w:t xml:space="preserve"> des dépenses d’investissement </w:t>
      </w:r>
      <w:r w:rsidR="00426FFF">
        <w:rPr>
          <w:bCs/>
        </w:rPr>
        <w:t xml:space="preserve">soit au total </w:t>
      </w:r>
      <w:r w:rsidR="00426FFF" w:rsidRPr="00426FFF">
        <w:rPr>
          <w:b/>
        </w:rPr>
        <w:t>153 626.12 €</w:t>
      </w:r>
    </w:p>
    <w:p w14:paraId="668F3913" w14:textId="3BFFD013" w:rsidR="00FA4AB1" w:rsidRPr="00426FFF" w:rsidRDefault="00FA4AB1" w:rsidP="00426FFF">
      <w:pPr>
        <w:rPr>
          <w:bCs/>
        </w:rPr>
      </w:pPr>
      <w:r w:rsidRPr="00426FFF">
        <w:rPr>
          <w:bCs/>
        </w:rPr>
        <w:t xml:space="preserve">La somme de </w:t>
      </w:r>
      <w:r w:rsidR="00426FFF" w:rsidRPr="00426FFF">
        <w:rPr>
          <w:b/>
        </w:rPr>
        <w:t>629 </w:t>
      </w:r>
      <w:r w:rsidR="00447467" w:rsidRPr="00426FFF">
        <w:rPr>
          <w:b/>
        </w:rPr>
        <w:t>613.41</w:t>
      </w:r>
      <w:r w:rsidR="00447467">
        <w:rPr>
          <w:bCs/>
        </w:rPr>
        <w:t xml:space="preserve"> </w:t>
      </w:r>
      <w:proofErr w:type="gramStart"/>
      <w:r w:rsidR="00447467" w:rsidRPr="00426FFF">
        <w:rPr>
          <w:bCs/>
        </w:rPr>
        <w:t>€</w:t>
      </w:r>
      <w:r w:rsidRPr="00426FFF">
        <w:rPr>
          <w:bCs/>
        </w:rPr>
        <w:t xml:space="preserve"> </w:t>
      </w:r>
      <w:r w:rsidR="00426FFF">
        <w:rPr>
          <w:bCs/>
        </w:rPr>
        <w:t xml:space="preserve"> correspondant</w:t>
      </w:r>
      <w:proofErr w:type="gramEnd"/>
      <w:r w:rsidR="00426FFF">
        <w:rPr>
          <w:bCs/>
        </w:rPr>
        <w:t xml:space="preserve"> à l’excédent de fonctio</w:t>
      </w:r>
      <w:r w:rsidR="008302CD">
        <w:rPr>
          <w:bCs/>
        </w:rPr>
        <w:t xml:space="preserve">nnement </w:t>
      </w:r>
      <w:r w:rsidR="008302CD" w:rsidRPr="008302CD">
        <w:rPr>
          <w:b/>
        </w:rPr>
        <w:t xml:space="preserve">568 001.39 </w:t>
      </w:r>
      <w:r w:rsidR="008302CD">
        <w:rPr>
          <w:bCs/>
        </w:rPr>
        <w:t xml:space="preserve">+ l’excédent de fonctionnement du </w:t>
      </w:r>
      <w:proofErr w:type="gramStart"/>
      <w:r w:rsidR="008302CD">
        <w:rPr>
          <w:bCs/>
        </w:rPr>
        <w:t>service  assainissement</w:t>
      </w:r>
      <w:proofErr w:type="gramEnd"/>
      <w:r w:rsidR="008302CD">
        <w:rPr>
          <w:bCs/>
        </w:rPr>
        <w:t xml:space="preserve">  </w:t>
      </w:r>
      <w:r w:rsidR="008302CD" w:rsidRPr="008302CD">
        <w:rPr>
          <w:b/>
        </w:rPr>
        <w:t>61 612.02 €</w:t>
      </w:r>
      <w:r w:rsidR="008302CD">
        <w:rPr>
          <w:bCs/>
        </w:rPr>
        <w:t xml:space="preserve"> </w:t>
      </w:r>
      <w:r w:rsidRPr="00426FFF">
        <w:rPr>
          <w:bCs/>
        </w:rPr>
        <w:t xml:space="preserve">sera imputée au compte </w:t>
      </w:r>
      <w:r w:rsidRPr="00426FFF">
        <w:rPr>
          <w:b/>
        </w:rPr>
        <w:t>1068</w:t>
      </w:r>
      <w:r w:rsidRPr="00426FFF">
        <w:rPr>
          <w:bCs/>
        </w:rPr>
        <w:t xml:space="preserve"> des recettes d’investissement</w:t>
      </w:r>
    </w:p>
    <w:p w14:paraId="0FDD09AC" w14:textId="0E06D530" w:rsidR="00FA4AB1" w:rsidRDefault="00426FFF" w:rsidP="00426FFF">
      <w:pPr>
        <w:rPr>
          <w:bCs/>
        </w:rPr>
      </w:pPr>
      <w:r>
        <w:rPr>
          <w:bCs/>
        </w:rPr>
        <w:t>Et aucun excédent ne sera reporté au compte 002 des recettes de fonctionnement</w:t>
      </w:r>
    </w:p>
    <w:p w14:paraId="3605555A" w14:textId="77777777" w:rsidR="008F7222" w:rsidRPr="00426FFF" w:rsidRDefault="008F7222" w:rsidP="00426FFF">
      <w:pPr>
        <w:rPr>
          <w:bCs/>
        </w:rPr>
      </w:pPr>
    </w:p>
    <w:p w14:paraId="2E7157BD" w14:textId="135A1A07" w:rsidR="00FA4AB1" w:rsidRPr="00447467" w:rsidRDefault="00426FFF" w:rsidP="00003C2B">
      <w:pPr>
        <w:pStyle w:val="Paragraphedeliste"/>
        <w:numPr>
          <w:ilvl w:val="0"/>
          <w:numId w:val="4"/>
        </w:numPr>
        <w:spacing w:after="0"/>
        <w:ind w:left="284"/>
        <w:rPr>
          <w:b/>
          <w:sz w:val="28"/>
          <w:szCs w:val="28"/>
        </w:rPr>
      </w:pPr>
      <w:r w:rsidRPr="00447467">
        <w:rPr>
          <w:b/>
          <w:sz w:val="28"/>
          <w:szCs w:val="28"/>
        </w:rPr>
        <w:lastRenderedPageBreak/>
        <w:t>Budget primitif 2026</w:t>
      </w:r>
    </w:p>
    <w:p w14:paraId="59879378" w14:textId="44C79DDD" w:rsidR="00426FFF" w:rsidRPr="008302CD" w:rsidRDefault="008302CD" w:rsidP="0072000B">
      <w:pPr>
        <w:spacing w:after="0" w:line="240" w:lineRule="auto"/>
        <w:jc w:val="both"/>
        <w:rPr>
          <w:rFonts w:ascii="Calibri" w:hAnsi="Calibri" w:cs="Calibri"/>
        </w:rPr>
      </w:pPr>
      <w:r w:rsidRPr="008302CD">
        <w:rPr>
          <w:rFonts w:ascii="Calibri" w:hAnsi="Calibri" w:cs="Calibri"/>
        </w:rPr>
        <w:t>Le maire rappelle que le conseil municipal a décidé d’affecter les résultats du CFU 202</w:t>
      </w:r>
      <w:r>
        <w:rPr>
          <w:rFonts w:ascii="Calibri" w:hAnsi="Calibri" w:cs="Calibri"/>
        </w:rPr>
        <w:t>5</w:t>
      </w:r>
      <w:r w:rsidRPr="008302CD">
        <w:rPr>
          <w:rFonts w:ascii="Calibri" w:hAnsi="Calibri" w:cs="Calibri"/>
        </w:rPr>
        <w:t xml:space="preserve"> au budget primitif 202</w:t>
      </w:r>
      <w:r>
        <w:rPr>
          <w:rFonts w:ascii="Calibri" w:hAnsi="Calibri" w:cs="Calibri"/>
        </w:rPr>
        <w:t>6</w:t>
      </w:r>
      <w:r w:rsidRPr="008302CD">
        <w:rPr>
          <w:rFonts w:ascii="Calibri" w:hAnsi="Calibri" w:cs="Calibri"/>
        </w:rPr>
        <w:t> :</w:t>
      </w:r>
    </w:p>
    <w:p w14:paraId="41314E0B" w14:textId="77777777" w:rsidR="00426FFF" w:rsidRPr="00426FFF" w:rsidRDefault="00426FFF" w:rsidP="0072000B">
      <w:pPr>
        <w:jc w:val="both"/>
        <w:rPr>
          <w:bCs/>
        </w:rPr>
      </w:pPr>
      <w:r w:rsidRPr="00426FFF">
        <w:rPr>
          <w:bCs/>
        </w:rPr>
        <w:t>Ensuite le   Maire présente le budget primitif   comme suit :</w:t>
      </w:r>
    </w:p>
    <w:tbl>
      <w:tblPr>
        <w:tblW w:w="81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92"/>
        <w:gridCol w:w="2477"/>
        <w:gridCol w:w="2268"/>
        <w:gridCol w:w="1912"/>
      </w:tblGrid>
      <w:tr w:rsidR="008302CD" w:rsidRPr="00426FFF" w14:paraId="6BDD0208" w14:textId="4BF0E1C8" w:rsidTr="009A29AF">
        <w:trPr>
          <w:trHeight w:val="283"/>
        </w:trPr>
        <w:tc>
          <w:tcPr>
            <w:tcW w:w="1492" w:type="dxa"/>
            <w:tcBorders>
              <w:top w:val="single" w:sz="4" w:space="0" w:color="auto"/>
              <w:left w:val="single" w:sz="4" w:space="0" w:color="auto"/>
              <w:bottom w:val="single" w:sz="4" w:space="0" w:color="auto"/>
              <w:right w:val="single" w:sz="4" w:space="0" w:color="auto"/>
            </w:tcBorders>
          </w:tcPr>
          <w:p w14:paraId="1B8BC19B" w14:textId="77777777" w:rsidR="008302CD" w:rsidRPr="00426FFF" w:rsidRDefault="008302CD" w:rsidP="0072000B">
            <w:pPr>
              <w:spacing w:after="0"/>
              <w:jc w:val="both"/>
              <w:rPr>
                <w:bCs/>
              </w:rPr>
            </w:pPr>
          </w:p>
        </w:tc>
        <w:tc>
          <w:tcPr>
            <w:tcW w:w="2477" w:type="dxa"/>
            <w:tcBorders>
              <w:top w:val="single" w:sz="4" w:space="0" w:color="auto"/>
              <w:left w:val="single" w:sz="4" w:space="0" w:color="auto"/>
              <w:bottom w:val="single" w:sz="4" w:space="0" w:color="auto"/>
              <w:right w:val="single" w:sz="4" w:space="0" w:color="auto"/>
            </w:tcBorders>
            <w:hideMark/>
          </w:tcPr>
          <w:p w14:paraId="5B8F2755" w14:textId="77777777" w:rsidR="008302CD" w:rsidRPr="00426FFF" w:rsidRDefault="008302CD" w:rsidP="0072000B">
            <w:pPr>
              <w:spacing w:after="0"/>
              <w:jc w:val="both"/>
              <w:rPr>
                <w:bCs/>
              </w:rPr>
            </w:pPr>
            <w:r w:rsidRPr="00426FFF">
              <w:rPr>
                <w:bCs/>
              </w:rPr>
              <w:t>Section de Fonctionnement</w:t>
            </w:r>
          </w:p>
        </w:tc>
        <w:tc>
          <w:tcPr>
            <w:tcW w:w="2268" w:type="dxa"/>
            <w:tcBorders>
              <w:top w:val="single" w:sz="4" w:space="0" w:color="auto"/>
              <w:left w:val="single" w:sz="4" w:space="0" w:color="auto"/>
              <w:bottom w:val="single" w:sz="4" w:space="0" w:color="auto"/>
              <w:right w:val="single" w:sz="4" w:space="0" w:color="auto"/>
            </w:tcBorders>
          </w:tcPr>
          <w:p w14:paraId="10D08669" w14:textId="77777777" w:rsidR="008302CD" w:rsidRDefault="008302CD" w:rsidP="0072000B">
            <w:pPr>
              <w:spacing w:after="0"/>
              <w:jc w:val="both"/>
              <w:rPr>
                <w:bCs/>
              </w:rPr>
            </w:pPr>
            <w:r>
              <w:rPr>
                <w:bCs/>
              </w:rPr>
              <w:t>Crédits de report</w:t>
            </w:r>
          </w:p>
          <w:p w14:paraId="3235461B" w14:textId="2FD84EE2" w:rsidR="008302CD" w:rsidRPr="00426FFF" w:rsidRDefault="008302CD" w:rsidP="0072000B">
            <w:pPr>
              <w:spacing w:after="0"/>
              <w:jc w:val="both"/>
              <w:rPr>
                <w:bCs/>
              </w:rPr>
            </w:pPr>
            <w:r>
              <w:rPr>
                <w:bCs/>
              </w:rPr>
              <w:t>Investissement</w:t>
            </w:r>
          </w:p>
        </w:tc>
        <w:tc>
          <w:tcPr>
            <w:tcW w:w="1912" w:type="dxa"/>
            <w:tcBorders>
              <w:top w:val="single" w:sz="4" w:space="0" w:color="auto"/>
              <w:left w:val="single" w:sz="4" w:space="0" w:color="auto"/>
              <w:bottom w:val="single" w:sz="4" w:space="0" w:color="auto"/>
              <w:right w:val="single" w:sz="4" w:space="0" w:color="auto"/>
            </w:tcBorders>
          </w:tcPr>
          <w:p w14:paraId="731290B1" w14:textId="59E3EB87" w:rsidR="008302CD" w:rsidRPr="00426FFF" w:rsidRDefault="008302CD" w:rsidP="0072000B">
            <w:pPr>
              <w:spacing w:after="0"/>
              <w:jc w:val="both"/>
              <w:rPr>
                <w:bCs/>
              </w:rPr>
            </w:pPr>
            <w:r>
              <w:rPr>
                <w:bCs/>
              </w:rPr>
              <w:t>Section investissement</w:t>
            </w:r>
          </w:p>
        </w:tc>
      </w:tr>
      <w:tr w:rsidR="008302CD" w:rsidRPr="00426FFF" w14:paraId="0DB67CBB" w14:textId="2A45CABE" w:rsidTr="009A29AF">
        <w:trPr>
          <w:trHeight w:val="275"/>
        </w:trPr>
        <w:tc>
          <w:tcPr>
            <w:tcW w:w="1492" w:type="dxa"/>
            <w:tcBorders>
              <w:top w:val="single" w:sz="4" w:space="0" w:color="auto"/>
              <w:left w:val="single" w:sz="4" w:space="0" w:color="auto"/>
              <w:bottom w:val="single" w:sz="4" w:space="0" w:color="auto"/>
              <w:right w:val="single" w:sz="4" w:space="0" w:color="auto"/>
            </w:tcBorders>
            <w:hideMark/>
          </w:tcPr>
          <w:p w14:paraId="464684DC" w14:textId="77777777" w:rsidR="008302CD" w:rsidRPr="00426FFF" w:rsidRDefault="008302CD" w:rsidP="0072000B">
            <w:pPr>
              <w:spacing w:after="0"/>
              <w:jc w:val="both"/>
              <w:rPr>
                <w:bCs/>
              </w:rPr>
            </w:pPr>
            <w:r w:rsidRPr="00426FFF">
              <w:rPr>
                <w:bCs/>
              </w:rPr>
              <w:t>Dépenses</w:t>
            </w:r>
          </w:p>
        </w:tc>
        <w:tc>
          <w:tcPr>
            <w:tcW w:w="2477" w:type="dxa"/>
            <w:tcBorders>
              <w:top w:val="single" w:sz="4" w:space="0" w:color="auto"/>
              <w:left w:val="single" w:sz="4" w:space="0" w:color="auto"/>
              <w:bottom w:val="single" w:sz="4" w:space="0" w:color="auto"/>
              <w:right w:val="single" w:sz="4" w:space="0" w:color="auto"/>
            </w:tcBorders>
            <w:hideMark/>
          </w:tcPr>
          <w:p w14:paraId="1A63B9C6" w14:textId="5925483E" w:rsidR="008302CD" w:rsidRPr="00426FFF" w:rsidRDefault="008302CD" w:rsidP="0072000B">
            <w:pPr>
              <w:spacing w:after="0"/>
              <w:jc w:val="both"/>
              <w:rPr>
                <w:bCs/>
              </w:rPr>
            </w:pPr>
            <w:r>
              <w:rPr>
                <w:bCs/>
              </w:rPr>
              <w:t>1 027 631.42</w:t>
            </w:r>
            <w:r w:rsidRPr="00426FFF">
              <w:rPr>
                <w:bCs/>
              </w:rPr>
              <w:t xml:space="preserve"> </w:t>
            </w:r>
          </w:p>
        </w:tc>
        <w:tc>
          <w:tcPr>
            <w:tcW w:w="2268" w:type="dxa"/>
            <w:tcBorders>
              <w:top w:val="single" w:sz="4" w:space="0" w:color="auto"/>
              <w:left w:val="single" w:sz="4" w:space="0" w:color="auto"/>
              <w:bottom w:val="single" w:sz="4" w:space="0" w:color="auto"/>
              <w:right w:val="single" w:sz="4" w:space="0" w:color="auto"/>
            </w:tcBorders>
          </w:tcPr>
          <w:p w14:paraId="6AE02EF6" w14:textId="55F91682" w:rsidR="008302CD" w:rsidRPr="00426FFF" w:rsidRDefault="008302CD" w:rsidP="0072000B">
            <w:pPr>
              <w:spacing w:after="0"/>
              <w:jc w:val="both"/>
              <w:rPr>
                <w:bCs/>
              </w:rPr>
            </w:pPr>
            <w:r>
              <w:rPr>
                <w:bCs/>
              </w:rPr>
              <w:t>667 000</w:t>
            </w:r>
          </w:p>
        </w:tc>
        <w:tc>
          <w:tcPr>
            <w:tcW w:w="1912" w:type="dxa"/>
            <w:tcBorders>
              <w:top w:val="single" w:sz="4" w:space="0" w:color="auto"/>
              <w:left w:val="single" w:sz="4" w:space="0" w:color="auto"/>
              <w:bottom w:val="single" w:sz="4" w:space="0" w:color="auto"/>
              <w:right w:val="single" w:sz="4" w:space="0" w:color="auto"/>
            </w:tcBorders>
          </w:tcPr>
          <w:p w14:paraId="527F98FD" w14:textId="49A6C0E6" w:rsidR="008302CD" w:rsidRPr="00426FFF" w:rsidRDefault="008302CD" w:rsidP="0072000B">
            <w:pPr>
              <w:spacing w:after="0"/>
              <w:jc w:val="both"/>
              <w:rPr>
                <w:bCs/>
              </w:rPr>
            </w:pPr>
            <w:r>
              <w:rPr>
                <w:bCs/>
              </w:rPr>
              <w:t>1 689 445.95</w:t>
            </w:r>
          </w:p>
        </w:tc>
      </w:tr>
      <w:tr w:rsidR="008302CD" w:rsidRPr="00426FFF" w14:paraId="00078CC3" w14:textId="041D0412" w:rsidTr="009A29AF">
        <w:trPr>
          <w:trHeight w:val="268"/>
        </w:trPr>
        <w:tc>
          <w:tcPr>
            <w:tcW w:w="1492" w:type="dxa"/>
            <w:tcBorders>
              <w:top w:val="single" w:sz="4" w:space="0" w:color="auto"/>
              <w:left w:val="single" w:sz="4" w:space="0" w:color="auto"/>
              <w:bottom w:val="double" w:sz="4" w:space="0" w:color="auto"/>
              <w:right w:val="single" w:sz="4" w:space="0" w:color="auto"/>
            </w:tcBorders>
            <w:hideMark/>
          </w:tcPr>
          <w:p w14:paraId="2CDBD765" w14:textId="77777777" w:rsidR="008302CD" w:rsidRPr="00426FFF" w:rsidRDefault="008302CD" w:rsidP="0072000B">
            <w:pPr>
              <w:spacing w:after="0"/>
              <w:jc w:val="both"/>
              <w:rPr>
                <w:bCs/>
              </w:rPr>
            </w:pPr>
            <w:r w:rsidRPr="00426FFF">
              <w:rPr>
                <w:bCs/>
              </w:rPr>
              <w:t>Recettes</w:t>
            </w:r>
          </w:p>
        </w:tc>
        <w:tc>
          <w:tcPr>
            <w:tcW w:w="2477" w:type="dxa"/>
            <w:tcBorders>
              <w:top w:val="single" w:sz="4" w:space="0" w:color="auto"/>
              <w:left w:val="single" w:sz="4" w:space="0" w:color="auto"/>
              <w:bottom w:val="double" w:sz="4" w:space="0" w:color="auto"/>
              <w:right w:val="single" w:sz="4" w:space="0" w:color="auto"/>
            </w:tcBorders>
            <w:hideMark/>
          </w:tcPr>
          <w:p w14:paraId="08E2FFC8" w14:textId="76286269" w:rsidR="008302CD" w:rsidRPr="00426FFF" w:rsidRDefault="008302CD" w:rsidP="0072000B">
            <w:pPr>
              <w:spacing w:after="0"/>
              <w:jc w:val="both"/>
              <w:rPr>
                <w:bCs/>
              </w:rPr>
            </w:pPr>
            <w:r>
              <w:rPr>
                <w:bCs/>
              </w:rPr>
              <w:t>1 060 413.00</w:t>
            </w:r>
            <w:r w:rsidRPr="00426FFF">
              <w:rPr>
                <w:bCs/>
              </w:rPr>
              <w:t xml:space="preserve"> </w:t>
            </w:r>
          </w:p>
        </w:tc>
        <w:tc>
          <w:tcPr>
            <w:tcW w:w="2268" w:type="dxa"/>
            <w:tcBorders>
              <w:top w:val="single" w:sz="4" w:space="0" w:color="auto"/>
              <w:left w:val="single" w:sz="4" w:space="0" w:color="auto"/>
              <w:bottom w:val="double" w:sz="4" w:space="0" w:color="auto"/>
              <w:right w:val="single" w:sz="4" w:space="0" w:color="auto"/>
            </w:tcBorders>
          </w:tcPr>
          <w:p w14:paraId="1CB84B73" w14:textId="77777777" w:rsidR="008302CD" w:rsidRPr="00426FFF" w:rsidRDefault="008302CD" w:rsidP="0072000B">
            <w:pPr>
              <w:spacing w:after="0"/>
              <w:jc w:val="both"/>
              <w:rPr>
                <w:bCs/>
              </w:rPr>
            </w:pPr>
          </w:p>
        </w:tc>
        <w:tc>
          <w:tcPr>
            <w:tcW w:w="1912" w:type="dxa"/>
            <w:tcBorders>
              <w:top w:val="single" w:sz="4" w:space="0" w:color="auto"/>
              <w:left w:val="single" w:sz="4" w:space="0" w:color="auto"/>
              <w:bottom w:val="double" w:sz="4" w:space="0" w:color="auto"/>
              <w:right w:val="single" w:sz="4" w:space="0" w:color="auto"/>
            </w:tcBorders>
          </w:tcPr>
          <w:p w14:paraId="6831D811" w14:textId="1FF229A9" w:rsidR="008302CD" w:rsidRPr="00426FFF" w:rsidRDefault="008302CD" w:rsidP="0072000B">
            <w:pPr>
              <w:spacing w:after="0"/>
              <w:jc w:val="both"/>
              <w:rPr>
                <w:bCs/>
              </w:rPr>
            </w:pPr>
            <w:r>
              <w:rPr>
                <w:bCs/>
              </w:rPr>
              <w:t>2 410 598.41</w:t>
            </w:r>
          </w:p>
        </w:tc>
      </w:tr>
      <w:tr w:rsidR="008302CD" w:rsidRPr="00426FFF" w14:paraId="1E01EB82" w14:textId="5B3AE07C" w:rsidTr="009A29AF">
        <w:tc>
          <w:tcPr>
            <w:tcW w:w="1492" w:type="dxa"/>
            <w:tcBorders>
              <w:top w:val="double" w:sz="4" w:space="0" w:color="auto"/>
              <w:left w:val="single" w:sz="4" w:space="0" w:color="auto"/>
              <w:bottom w:val="single" w:sz="4" w:space="0" w:color="auto"/>
              <w:right w:val="single" w:sz="4" w:space="0" w:color="auto"/>
            </w:tcBorders>
            <w:hideMark/>
          </w:tcPr>
          <w:p w14:paraId="3CAFC492" w14:textId="77777777" w:rsidR="008302CD" w:rsidRPr="00426FFF" w:rsidRDefault="008302CD" w:rsidP="0072000B">
            <w:pPr>
              <w:spacing w:after="0"/>
              <w:jc w:val="both"/>
              <w:rPr>
                <w:bCs/>
              </w:rPr>
            </w:pPr>
            <w:r w:rsidRPr="00426FFF">
              <w:rPr>
                <w:bCs/>
              </w:rPr>
              <w:t>Excédent</w:t>
            </w:r>
          </w:p>
        </w:tc>
        <w:tc>
          <w:tcPr>
            <w:tcW w:w="2477" w:type="dxa"/>
            <w:tcBorders>
              <w:top w:val="double" w:sz="4" w:space="0" w:color="auto"/>
              <w:left w:val="single" w:sz="4" w:space="0" w:color="auto"/>
              <w:bottom w:val="single" w:sz="4" w:space="0" w:color="auto"/>
              <w:right w:val="single" w:sz="4" w:space="0" w:color="auto"/>
            </w:tcBorders>
            <w:hideMark/>
          </w:tcPr>
          <w:p w14:paraId="3E14E391" w14:textId="5CE2E302" w:rsidR="008302CD" w:rsidRPr="00426FFF" w:rsidRDefault="008302CD" w:rsidP="0072000B">
            <w:pPr>
              <w:spacing w:after="0"/>
              <w:jc w:val="both"/>
              <w:rPr>
                <w:bCs/>
              </w:rPr>
            </w:pPr>
            <w:r>
              <w:rPr>
                <w:bCs/>
              </w:rPr>
              <w:t>32 781.58</w:t>
            </w:r>
            <w:r w:rsidRPr="00426FFF">
              <w:rPr>
                <w:bCs/>
              </w:rPr>
              <w:t xml:space="preserve"> </w:t>
            </w:r>
          </w:p>
        </w:tc>
        <w:tc>
          <w:tcPr>
            <w:tcW w:w="2268" w:type="dxa"/>
            <w:tcBorders>
              <w:top w:val="double" w:sz="4" w:space="0" w:color="auto"/>
              <w:left w:val="single" w:sz="4" w:space="0" w:color="auto"/>
              <w:bottom w:val="single" w:sz="4" w:space="0" w:color="auto"/>
              <w:right w:val="single" w:sz="4" w:space="0" w:color="auto"/>
            </w:tcBorders>
          </w:tcPr>
          <w:p w14:paraId="79EC497A" w14:textId="77777777" w:rsidR="008302CD" w:rsidRPr="00426FFF" w:rsidRDefault="008302CD" w:rsidP="0072000B">
            <w:pPr>
              <w:spacing w:after="0"/>
              <w:jc w:val="both"/>
              <w:rPr>
                <w:bCs/>
              </w:rPr>
            </w:pPr>
          </w:p>
        </w:tc>
        <w:tc>
          <w:tcPr>
            <w:tcW w:w="1912" w:type="dxa"/>
            <w:tcBorders>
              <w:top w:val="double" w:sz="4" w:space="0" w:color="auto"/>
              <w:left w:val="single" w:sz="4" w:space="0" w:color="auto"/>
              <w:bottom w:val="single" w:sz="4" w:space="0" w:color="auto"/>
              <w:right w:val="single" w:sz="4" w:space="0" w:color="auto"/>
            </w:tcBorders>
          </w:tcPr>
          <w:p w14:paraId="7CC2ECDB" w14:textId="1B1085C8" w:rsidR="008302CD" w:rsidRPr="00426FFF" w:rsidRDefault="009A29AF" w:rsidP="0072000B">
            <w:pPr>
              <w:spacing w:after="0"/>
              <w:jc w:val="both"/>
              <w:rPr>
                <w:bCs/>
              </w:rPr>
            </w:pPr>
            <w:r>
              <w:rPr>
                <w:bCs/>
              </w:rPr>
              <w:t>54 152.46</w:t>
            </w:r>
          </w:p>
        </w:tc>
      </w:tr>
    </w:tbl>
    <w:p w14:paraId="4AB4A77A" w14:textId="0554893B" w:rsidR="00426FFF" w:rsidRPr="00426FFF" w:rsidRDefault="00426FFF" w:rsidP="0072000B">
      <w:pPr>
        <w:jc w:val="both"/>
        <w:rPr>
          <w:bCs/>
        </w:rPr>
      </w:pPr>
      <w:r w:rsidRPr="00426FFF">
        <w:rPr>
          <w:bCs/>
        </w:rPr>
        <w:t>Il est procédé au vote de ce budget ; il est adopté à l’unanimité par 1</w:t>
      </w:r>
      <w:r w:rsidR="0072000B">
        <w:rPr>
          <w:bCs/>
        </w:rPr>
        <w:t>4</w:t>
      </w:r>
      <w:r w:rsidRPr="00426FFF">
        <w:rPr>
          <w:bCs/>
        </w:rPr>
        <w:t xml:space="preserve"> voix pour.</w:t>
      </w:r>
    </w:p>
    <w:p w14:paraId="0F89D794" w14:textId="77777777" w:rsidR="00426FFF" w:rsidRPr="00426FFF" w:rsidRDefault="00426FFF" w:rsidP="0072000B">
      <w:pPr>
        <w:jc w:val="both"/>
        <w:rPr>
          <w:bCs/>
        </w:rPr>
      </w:pPr>
      <w:r w:rsidRPr="00426FFF">
        <w:rPr>
          <w:bCs/>
        </w:rPr>
        <w:t>En matière de fongibilité des crédits :  l’organe délibérant délègue à l’exécutif la possibilité de procéder à des mouvements de crédits de chapitre à chapitre dans la limite de 7,5 % des dépenses réelles de chacune des sections, et à l’exclusion des crédits relatifs aux dépenses de personnel.</w:t>
      </w:r>
      <w:r w:rsidRPr="00426FFF">
        <w:rPr>
          <w:bCs/>
        </w:rPr>
        <w:tab/>
      </w:r>
      <w:r w:rsidRPr="00426FFF">
        <w:rPr>
          <w:bCs/>
        </w:rPr>
        <w:br/>
      </w:r>
    </w:p>
    <w:p w14:paraId="507C5839" w14:textId="4A7B7E3C" w:rsidR="00003C2B" w:rsidRDefault="0072000B" w:rsidP="00003C2B">
      <w:pPr>
        <w:pStyle w:val="Paragraphedeliste"/>
        <w:numPr>
          <w:ilvl w:val="0"/>
          <w:numId w:val="4"/>
        </w:numPr>
        <w:ind w:left="284"/>
        <w:rPr>
          <w:b/>
          <w:sz w:val="28"/>
          <w:szCs w:val="28"/>
        </w:rPr>
      </w:pPr>
      <w:r w:rsidRPr="00447467">
        <w:rPr>
          <w:b/>
          <w:sz w:val="28"/>
          <w:szCs w:val="28"/>
        </w:rPr>
        <w:t xml:space="preserve">Vote </w:t>
      </w:r>
      <w:proofErr w:type="gramStart"/>
      <w:r w:rsidRPr="00447467">
        <w:rPr>
          <w:b/>
          <w:sz w:val="28"/>
          <w:szCs w:val="28"/>
        </w:rPr>
        <w:t>des  taxes</w:t>
      </w:r>
      <w:bookmarkStart w:id="0" w:name="_Hlk131691580"/>
      <w:proofErr w:type="gramEnd"/>
    </w:p>
    <w:p w14:paraId="76D8567D" w14:textId="12473301" w:rsidR="0072000B" w:rsidRPr="00003C2B" w:rsidRDefault="0072000B" w:rsidP="00003C2B">
      <w:pPr>
        <w:pStyle w:val="Paragraphedeliste"/>
        <w:ind w:left="0"/>
        <w:jc w:val="both"/>
        <w:rPr>
          <w:b/>
          <w:sz w:val="28"/>
          <w:szCs w:val="28"/>
        </w:rPr>
      </w:pPr>
      <w:r w:rsidRPr="00003C2B">
        <w:rPr>
          <w:bCs/>
        </w:rPr>
        <w:t>Madame le Maire présente l’état 1259 comportant les bases prévisionnelles, les produits prévisionnels de référence, les allocations compensatrices et mécanismes d’équilibre des réformes fiscales.</w:t>
      </w:r>
    </w:p>
    <w:p w14:paraId="5A1EFC67" w14:textId="0BD5467D" w:rsidR="0072000B" w:rsidRPr="0072000B" w:rsidRDefault="0072000B" w:rsidP="00003C2B">
      <w:pPr>
        <w:jc w:val="both"/>
        <w:rPr>
          <w:bCs/>
        </w:rPr>
      </w:pPr>
      <w:r w:rsidRPr="0072000B">
        <w:rPr>
          <w:bCs/>
        </w:rPr>
        <w:t xml:space="preserve">Madame le Maire propose d’augmenter les taux de </w:t>
      </w:r>
      <w:r>
        <w:rPr>
          <w:bCs/>
        </w:rPr>
        <w:t>3</w:t>
      </w:r>
      <w:r w:rsidRPr="0072000B">
        <w:rPr>
          <w:bCs/>
        </w:rPr>
        <w:t xml:space="preserve">% </w:t>
      </w:r>
      <w:r w:rsidRPr="0072000B">
        <w:rPr>
          <w:bCs/>
          <w:iCs/>
        </w:rPr>
        <w:t>en appliquant un coefficient de variation proportionnelle de 1,0</w:t>
      </w:r>
      <w:r w:rsidR="00B37067">
        <w:rPr>
          <w:bCs/>
          <w:iCs/>
        </w:rPr>
        <w:t>30048</w:t>
      </w:r>
      <w:r w:rsidRPr="0072000B">
        <w:rPr>
          <w:bCs/>
          <w:iCs/>
        </w:rPr>
        <w:t>.</w:t>
      </w:r>
    </w:p>
    <w:p w14:paraId="51674A8C" w14:textId="25D99B30" w:rsidR="0072000B" w:rsidRPr="0072000B" w:rsidRDefault="0072000B" w:rsidP="00003C2B">
      <w:pPr>
        <w:jc w:val="both"/>
        <w:rPr>
          <w:bCs/>
        </w:rPr>
      </w:pPr>
      <w:r w:rsidRPr="0072000B">
        <w:rPr>
          <w:bCs/>
        </w:rPr>
        <w:t xml:space="preserve">Le Conseil municipal, vu les articles 1636 B </w:t>
      </w:r>
      <w:r w:rsidRPr="0072000B">
        <w:rPr>
          <w:bCs/>
          <w:i/>
          <w:iCs/>
        </w:rPr>
        <w:t>sexies</w:t>
      </w:r>
      <w:r w:rsidRPr="0072000B">
        <w:rPr>
          <w:bCs/>
        </w:rPr>
        <w:t xml:space="preserve"> à 1636 B </w:t>
      </w:r>
      <w:r w:rsidRPr="0072000B">
        <w:rPr>
          <w:bCs/>
          <w:i/>
          <w:iCs/>
        </w:rPr>
        <w:t>undecies</w:t>
      </w:r>
      <w:r w:rsidRPr="0072000B">
        <w:rPr>
          <w:bCs/>
        </w:rPr>
        <w:t xml:space="preserve"> et 1639 A du code général des impôts, après en avoir délibéré, à l’unanimité des votes :</w:t>
      </w:r>
    </w:p>
    <w:p w14:paraId="5FB5AAE7" w14:textId="05C314B4" w:rsidR="0072000B" w:rsidRPr="0072000B" w:rsidRDefault="0072000B" w:rsidP="00003C2B">
      <w:pPr>
        <w:jc w:val="both"/>
        <w:rPr>
          <w:bCs/>
        </w:rPr>
      </w:pPr>
      <w:r w:rsidRPr="0072000B">
        <w:rPr>
          <w:bCs/>
        </w:rPr>
        <w:t>DÉCIDE de fixer les taux communaux pour l’année 202</w:t>
      </w:r>
      <w:r>
        <w:rPr>
          <w:bCs/>
        </w:rPr>
        <w:t>6</w:t>
      </w:r>
      <w:r w:rsidRPr="0072000B">
        <w:rPr>
          <w:bCs/>
        </w:rPr>
        <w:t xml:space="preserve"> comme suit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10"/>
        <w:gridCol w:w="2250"/>
        <w:gridCol w:w="2057"/>
        <w:gridCol w:w="2214"/>
      </w:tblGrid>
      <w:tr w:rsidR="0072000B" w:rsidRPr="0072000B" w14:paraId="0165F73A" w14:textId="77777777">
        <w:tc>
          <w:tcPr>
            <w:tcW w:w="2110" w:type="dxa"/>
            <w:tcBorders>
              <w:top w:val="double" w:sz="4" w:space="0" w:color="auto"/>
              <w:left w:val="double" w:sz="4" w:space="0" w:color="auto"/>
              <w:bottom w:val="double" w:sz="4" w:space="0" w:color="auto"/>
              <w:right w:val="single" w:sz="4" w:space="0" w:color="auto"/>
            </w:tcBorders>
          </w:tcPr>
          <w:p w14:paraId="576A424D" w14:textId="77777777" w:rsidR="0072000B" w:rsidRPr="0072000B" w:rsidRDefault="0072000B" w:rsidP="0072000B">
            <w:pPr>
              <w:spacing w:after="0"/>
              <w:jc w:val="right"/>
              <w:rPr>
                <w:bCs/>
              </w:rPr>
            </w:pPr>
            <w:r w:rsidRPr="0072000B">
              <w:rPr>
                <w:bCs/>
              </w:rPr>
              <w:t>Taxe</w:t>
            </w:r>
          </w:p>
          <w:p w14:paraId="227E6169" w14:textId="77777777" w:rsidR="0072000B" w:rsidRPr="0072000B" w:rsidRDefault="0072000B" w:rsidP="0072000B">
            <w:pPr>
              <w:spacing w:after="0"/>
              <w:jc w:val="right"/>
              <w:rPr>
                <w:bCs/>
              </w:rPr>
            </w:pPr>
          </w:p>
        </w:tc>
        <w:tc>
          <w:tcPr>
            <w:tcW w:w="2250" w:type="dxa"/>
            <w:tcBorders>
              <w:top w:val="double" w:sz="4" w:space="0" w:color="auto"/>
              <w:left w:val="single" w:sz="4" w:space="0" w:color="auto"/>
              <w:bottom w:val="double" w:sz="4" w:space="0" w:color="auto"/>
              <w:right w:val="single" w:sz="4" w:space="0" w:color="auto"/>
            </w:tcBorders>
            <w:hideMark/>
          </w:tcPr>
          <w:p w14:paraId="656BC006" w14:textId="77777777" w:rsidR="0072000B" w:rsidRPr="0072000B" w:rsidRDefault="0072000B" w:rsidP="0072000B">
            <w:pPr>
              <w:spacing w:after="0"/>
              <w:jc w:val="right"/>
              <w:rPr>
                <w:bCs/>
              </w:rPr>
            </w:pPr>
            <w:r w:rsidRPr="0072000B">
              <w:rPr>
                <w:bCs/>
              </w:rPr>
              <w:t>Bases d’imposition</w:t>
            </w:r>
          </w:p>
        </w:tc>
        <w:tc>
          <w:tcPr>
            <w:tcW w:w="2057" w:type="dxa"/>
            <w:tcBorders>
              <w:top w:val="double" w:sz="4" w:space="0" w:color="auto"/>
              <w:left w:val="single" w:sz="4" w:space="0" w:color="auto"/>
              <w:bottom w:val="double" w:sz="4" w:space="0" w:color="auto"/>
              <w:right w:val="single" w:sz="4" w:space="0" w:color="auto"/>
            </w:tcBorders>
            <w:hideMark/>
          </w:tcPr>
          <w:p w14:paraId="71B29FEF" w14:textId="77777777" w:rsidR="0072000B" w:rsidRPr="0072000B" w:rsidRDefault="0072000B" w:rsidP="0072000B">
            <w:pPr>
              <w:spacing w:after="0"/>
              <w:jc w:val="right"/>
              <w:rPr>
                <w:bCs/>
              </w:rPr>
            </w:pPr>
            <w:r w:rsidRPr="0072000B">
              <w:rPr>
                <w:bCs/>
              </w:rPr>
              <w:t>Taux votés</w:t>
            </w:r>
          </w:p>
        </w:tc>
        <w:tc>
          <w:tcPr>
            <w:tcW w:w="2214" w:type="dxa"/>
            <w:tcBorders>
              <w:top w:val="double" w:sz="4" w:space="0" w:color="auto"/>
              <w:left w:val="single" w:sz="4" w:space="0" w:color="auto"/>
              <w:bottom w:val="double" w:sz="4" w:space="0" w:color="auto"/>
              <w:right w:val="double" w:sz="4" w:space="0" w:color="auto"/>
            </w:tcBorders>
            <w:hideMark/>
          </w:tcPr>
          <w:p w14:paraId="6CAE9A65" w14:textId="77777777" w:rsidR="0072000B" w:rsidRPr="0072000B" w:rsidRDefault="0072000B" w:rsidP="0072000B">
            <w:pPr>
              <w:spacing w:after="0"/>
              <w:jc w:val="right"/>
              <w:rPr>
                <w:bCs/>
              </w:rPr>
            </w:pPr>
            <w:r w:rsidRPr="0072000B">
              <w:rPr>
                <w:bCs/>
              </w:rPr>
              <w:t>Produit correspondant</w:t>
            </w:r>
          </w:p>
        </w:tc>
      </w:tr>
      <w:tr w:rsidR="0072000B" w:rsidRPr="0072000B" w14:paraId="69621AB2" w14:textId="77777777">
        <w:tc>
          <w:tcPr>
            <w:tcW w:w="2110" w:type="dxa"/>
            <w:tcBorders>
              <w:top w:val="single" w:sz="4" w:space="0" w:color="auto"/>
              <w:left w:val="double" w:sz="4" w:space="0" w:color="auto"/>
              <w:bottom w:val="single" w:sz="4" w:space="0" w:color="auto"/>
              <w:right w:val="single" w:sz="4" w:space="0" w:color="auto"/>
            </w:tcBorders>
            <w:hideMark/>
          </w:tcPr>
          <w:p w14:paraId="3FCA1A27" w14:textId="77777777" w:rsidR="0072000B" w:rsidRPr="0072000B" w:rsidRDefault="0072000B" w:rsidP="0072000B">
            <w:pPr>
              <w:spacing w:after="0"/>
              <w:jc w:val="right"/>
              <w:rPr>
                <w:bCs/>
              </w:rPr>
            </w:pPr>
            <w:r w:rsidRPr="0072000B">
              <w:rPr>
                <w:bCs/>
              </w:rPr>
              <w:t>Foncier Bâti</w:t>
            </w:r>
          </w:p>
        </w:tc>
        <w:tc>
          <w:tcPr>
            <w:tcW w:w="2250" w:type="dxa"/>
            <w:tcBorders>
              <w:top w:val="single" w:sz="4" w:space="0" w:color="auto"/>
              <w:left w:val="single" w:sz="4" w:space="0" w:color="auto"/>
              <w:bottom w:val="single" w:sz="4" w:space="0" w:color="auto"/>
              <w:right w:val="single" w:sz="4" w:space="0" w:color="auto"/>
            </w:tcBorders>
            <w:hideMark/>
          </w:tcPr>
          <w:p w14:paraId="475A18D8" w14:textId="7C34FA4A" w:rsidR="0072000B" w:rsidRPr="0072000B" w:rsidRDefault="0072000B" w:rsidP="0072000B">
            <w:pPr>
              <w:spacing w:after="0"/>
              <w:jc w:val="right"/>
              <w:rPr>
                <w:bCs/>
              </w:rPr>
            </w:pPr>
            <w:r>
              <w:rPr>
                <w:bCs/>
              </w:rPr>
              <w:t>816 400</w:t>
            </w:r>
          </w:p>
        </w:tc>
        <w:tc>
          <w:tcPr>
            <w:tcW w:w="2057" w:type="dxa"/>
            <w:tcBorders>
              <w:top w:val="single" w:sz="4" w:space="0" w:color="auto"/>
              <w:left w:val="single" w:sz="4" w:space="0" w:color="auto"/>
              <w:bottom w:val="single" w:sz="4" w:space="0" w:color="auto"/>
              <w:right w:val="single" w:sz="4" w:space="0" w:color="auto"/>
            </w:tcBorders>
            <w:hideMark/>
          </w:tcPr>
          <w:p w14:paraId="6677F121" w14:textId="1872B1FC" w:rsidR="0072000B" w:rsidRPr="0072000B" w:rsidRDefault="0072000B" w:rsidP="0072000B">
            <w:pPr>
              <w:spacing w:after="0"/>
              <w:jc w:val="right"/>
              <w:rPr>
                <w:bCs/>
              </w:rPr>
            </w:pPr>
            <w:r>
              <w:rPr>
                <w:bCs/>
              </w:rPr>
              <w:t>34.30</w:t>
            </w:r>
            <w:r w:rsidRPr="0072000B">
              <w:rPr>
                <w:bCs/>
              </w:rPr>
              <w:t xml:space="preserve"> %</w:t>
            </w:r>
          </w:p>
        </w:tc>
        <w:tc>
          <w:tcPr>
            <w:tcW w:w="2214" w:type="dxa"/>
            <w:tcBorders>
              <w:top w:val="single" w:sz="4" w:space="0" w:color="auto"/>
              <w:left w:val="single" w:sz="4" w:space="0" w:color="auto"/>
              <w:bottom w:val="single" w:sz="4" w:space="0" w:color="auto"/>
              <w:right w:val="double" w:sz="4" w:space="0" w:color="auto"/>
            </w:tcBorders>
            <w:hideMark/>
          </w:tcPr>
          <w:p w14:paraId="226A76F3" w14:textId="77777777" w:rsidR="0072000B" w:rsidRPr="0072000B" w:rsidRDefault="0072000B" w:rsidP="0072000B">
            <w:pPr>
              <w:spacing w:after="0"/>
              <w:jc w:val="right"/>
              <w:rPr>
                <w:bCs/>
              </w:rPr>
            </w:pPr>
            <w:r w:rsidRPr="0072000B">
              <w:rPr>
                <w:bCs/>
              </w:rPr>
              <w:t xml:space="preserve">264 768 </w:t>
            </w:r>
          </w:p>
        </w:tc>
      </w:tr>
      <w:tr w:rsidR="0072000B" w:rsidRPr="0072000B" w14:paraId="29AB66B2" w14:textId="77777777">
        <w:tc>
          <w:tcPr>
            <w:tcW w:w="2110" w:type="dxa"/>
            <w:tcBorders>
              <w:top w:val="single" w:sz="4" w:space="0" w:color="auto"/>
              <w:left w:val="double" w:sz="4" w:space="0" w:color="auto"/>
              <w:bottom w:val="single" w:sz="4" w:space="0" w:color="auto"/>
              <w:right w:val="single" w:sz="4" w:space="0" w:color="auto"/>
            </w:tcBorders>
            <w:hideMark/>
          </w:tcPr>
          <w:p w14:paraId="73A7175F" w14:textId="77777777" w:rsidR="0072000B" w:rsidRPr="0072000B" w:rsidRDefault="0072000B" w:rsidP="0072000B">
            <w:pPr>
              <w:spacing w:after="0"/>
              <w:jc w:val="right"/>
              <w:rPr>
                <w:bCs/>
              </w:rPr>
            </w:pPr>
            <w:r w:rsidRPr="0072000B">
              <w:rPr>
                <w:bCs/>
              </w:rPr>
              <w:t>Foncier non bâti</w:t>
            </w:r>
          </w:p>
        </w:tc>
        <w:tc>
          <w:tcPr>
            <w:tcW w:w="2250" w:type="dxa"/>
            <w:tcBorders>
              <w:top w:val="single" w:sz="4" w:space="0" w:color="auto"/>
              <w:left w:val="single" w:sz="4" w:space="0" w:color="auto"/>
              <w:bottom w:val="single" w:sz="4" w:space="0" w:color="auto"/>
              <w:right w:val="single" w:sz="4" w:space="0" w:color="auto"/>
            </w:tcBorders>
            <w:hideMark/>
          </w:tcPr>
          <w:p w14:paraId="6C388940" w14:textId="1A93F523" w:rsidR="0072000B" w:rsidRPr="0072000B" w:rsidRDefault="0072000B" w:rsidP="0072000B">
            <w:pPr>
              <w:spacing w:after="0"/>
              <w:jc w:val="right"/>
              <w:rPr>
                <w:bCs/>
              </w:rPr>
            </w:pPr>
            <w:r>
              <w:rPr>
                <w:bCs/>
              </w:rPr>
              <w:t>117 900</w:t>
            </w:r>
            <w:r w:rsidRPr="0072000B">
              <w:rPr>
                <w:bCs/>
              </w:rPr>
              <w:t xml:space="preserve"> </w:t>
            </w:r>
          </w:p>
        </w:tc>
        <w:tc>
          <w:tcPr>
            <w:tcW w:w="2057" w:type="dxa"/>
            <w:tcBorders>
              <w:top w:val="single" w:sz="4" w:space="0" w:color="auto"/>
              <w:left w:val="single" w:sz="4" w:space="0" w:color="auto"/>
              <w:bottom w:val="single" w:sz="4" w:space="0" w:color="auto"/>
              <w:right w:val="single" w:sz="4" w:space="0" w:color="auto"/>
            </w:tcBorders>
            <w:hideMark/>
          </w:tcPr>
          <w:p w14:paraId="4FF65243" w14:textId="0286BE58" w:rsidR="0072000B" w:rsidRPr="0072000B" w:rsidRDefault="0072000B" w:rsidP="0072000B">
            <w:pPr>
              <w:spacing w:after="0"/>
              <w:jc w:val="right"/>
              <w:rPr>
                <w:bCs/>
              </w:rPr>
            </w:pPr>
            <w:r>
              <w:rPr>
                <w:bCs/>
              </w:rPr>
              <w:t>20.44</w:t>
            </w:r>
            <w:r w:rsidRPr="0072000B">
              <w:rPr>
                <w:bCs/>
              </w:rPr>
              <w:t xml:space="preserve"> %</w:t>
            </w:r>
          </w:p>
        </w:tc>
        <w:tc>
          <w:tcPr>
            <w:tcW w:w="2214" w:type="dxa"/>
            <w:tcBorders>
              <w:top w:val="single" w:sz="4" w:space="0" w:color="auto"/>
              <w:left w:val="single" w:sz="4" w:space="0" w:color="auto"/>
              <w:bottom w:val="single" w:sz="4" w:space="0" w:color="auto"/>
              <w:right w:val="double" w:sz="4" w:space="0" w:color="auto"/>
            </w:tcBorders>
            <w:hideMark/>
          </w:tcPr>
          <w:p w14:paraId="37BEB17A" w14:textId="68A4E2BE" w:rsidR="0072000B" w:rsidRPr="0072000B" w:rsidRDefault="0072000B" w:rsidP="0072000B">
            <w:pPr>
              <w:spacing w:after="0"/>
              <w:jc w:val="right"/>
              <w:rPr>
                <w:bCs/>
              </w:rPr>
            </w:pPr>
            <w:r>
              <w:rPr>
                <w:bCs/>
              </w:rPr>
              <w:t>24 099</w:t>
            </w:r>
            <w:r w:rsidRPr="0072000B">
              <w:rPr>
                <w:bCs/>
              </w:rPr>
              <w:t xml:space="preserve"> </w:t>
            </w:r>
          </w:p>
        </w:tc>
      </w:tr>
      <w:tr w:rsidR="0072000B" w:rsidRPr="0072000B" w14:paraId="586E7188" w14:textId="77777777">
        <w:tc>
          <w:tcPr>
            <w:tcW w:w="2110" w:type="dxa"/>
            <w:tcBorders>
              <w:top w:val="single" w:sz="4" w:space="0" w:color="auto"/>
              <w:left w:val="double" w:sz="4" w:space="0" w:color="auto"/>
              <w:bottom w:val="single" w:sz="4" w:space="0" w:color="auto"/>
              <w:right w:val="single" w:sz="4" w:space="0" w:color="auto"/>
            </w:tcBorders>
            <w:hideMark/>
          </w:tcPr>
          <w:p w14:paraId="2F8F782E" w14:textId="77777777" w:rsidR="0072000B" w:rsidRPr="0072000B" w:rsidRDefault="0072000B" w:rsidP="0072000B">
            <w:pPr>
              <w:spacing w:after="0"/>
              <w:jc w:val="right"/>
              <w:rPr>
                <w:bCs/>
              </w:rPr>
            </w:pPr>
            <w:r w:rsidRPr="0072000B">
              <w:rPr>
                <w:bCs/>
              </w:rPr>
              <w:t>Taxe d’habitation</w:t>
            </w:r>
          </w:p>
        </w:tc>
        <w:tc>
          <w:tcPr>
            <w:tcW w:w="2250" w:type="dxa"/>
            <w:tcBorders>
              <w:top w:val="single" w:sz="4" w:space="0" w:color="auto"/>
              <w:left w:val="single" w:sz="4" w:space="0" w:color="auto"/>
              <w:bottom w:val="single" w:sz="4" w:space="0" w:color="auto"/>
              <w:right w:val="single" w:sz="4" w:space="0" w:color="auto"/>
            </w:tcBorders>
            <w:hideMark/>
          </w:tcPr>
          <w:p w14:paraId="2E025B6C" w14:textId="3C42E34B" w:rsidR="0072000B" w:rsidRPr="0072000B" w:rsidRDefault="0072000B" w:rsidP="0072000B">
            <w:pPr>
              <w:spacing w:after="0"/>
              <w:jc w:val="right"/>
              <w:rPr>
                <w:bCs/>
              </w:rPr>
            </w:pPr>
            <w:r>
              <w:rPr>
                <w:bCs/>
              </w:rPr>
              <w:t>17 100</w:t>
            </w:r>
            <w:r w:rsidRPr="0072000B">
              <w:rPr>
                <w:bCs/>
              </w:rPr>
              <w:t xml:space="preserve"> </w:t>
            </w:r>
          </w:p>
        </w:tc>
        <w:tc>
          <w:tcPr>
            <w:tcW w:w="2057" w:type="dxa"/>
            <w:tcBorders>
              <w:top w:val="single" w:sz="4" w:space="0" w:color="auto"/>
              <w:left w:val="single" w:sz="4" w:space="0" w:color="auto"/>
              <w:bottom w:val="single" w:sz="4" w:space="0" w:color="auto"/>
              <w:right w:val="single" w:sz="4" w:space="0" w:color="auto"/>
            </w:tcBorders>
            <w:hideMark/>
          </w:tcPr>
          <w:p w14:paraId="2B7A087D" w14:textId="6031757E" w:rsidR="0072000B" w:rsidRPr="0072000B" w:rsidRDefault="0072000B" w:rsidP="0072000B">
            <w:pPr>
              <w:spacing w:after="0"/>
              <w:jc w:val="right"/>
              <w:rPr>
                <w:bCs/>
              </w:rPr>
            </w:pPr>
            <w:r>
              <w:rPr>
                <w:bCs/>
              </w:rPr>
              <w:t>17.29</w:t>
            </w:r>
            <w:r w:rsidRPr="0072000B">
              <w:rPr>
                <w:bCs/>
              </w:rPr>
              <w:t xml:space="preserve"> %</w:t>
            </w:r>
          </w:p>
        </w:tc>
        <w:tc>
          <w:tcPr>
            <w:tcW w:w="2214" w:type="dxa"/>
            <w:tcBorders>
              <w:top w:val="single" w:sz="4" w:space="0" w:color="auto"/>
              <w:left w:val="single" w:sz="4" w:space="0" w:color="auto"/>
              <w:bottom w:val="single" w:sz="4" w:space="0" w:color="auto"/>
              <w:right w:val="double" w:sz="4" w:space="0" w:color="auto"/>
            </w:tcBorders>
            <w:hideMark/>
          </w:tcPr>
          <w:p w14:paraId="03A47D7A" w14:textId="52B34344" w:rsidR="0072000B" w:rsidRPr="0072000B" w:rsidRDefault="0072000B" w:rsidP="0072000B">
            <w:pPr>
              <w:spacing w:after="0"/>
              <w:jc w:val="right"/>
              <w:rPr>
                <w:bCs/>
              </w:rPr>
            </w:pPr>
            <w:r>
              <w:rPr>
                <w:bCs/>
              </w:rPr>
              <w:t>2 957</w:t>
            </w:r>
          </w:p>
        </w:tc>
      </w:tr>
    </w:tbl>
    <w:p w14:paraId="2FE29E76" w14:textId="42696063" w:rsidR="0072000B" w:rsidRPr="0072000B" w:rsidRDefault="0072000B" w:rsidP="0072000B">
      <w:pPr>
        <w:rPr>
          <w:bCs/>
        </w:rPr>
      </w:pPr>
      <w:r w:rsidRPr="0072000B">
        <w:rPr>
          <w:bCs/>
        </w:rPr>
        <w:t xml:space="preserve">Total : </w:t>
      </w:r>
      <w:r>
        <w:rPr>
          <w:bCs/>
        </w:rPr>
        <w:t>307 081</w:t>
      </w:r>
      <w:r w:rsidRPr="0072000B">
        <w:rPr>
          <w:bCs/>
        </w:rPr>
        <w:t xml:space="preserve"> €</w:t>
      </w:r>
    </w:p>
    <w:p w14:paraId="23E5D60F" w14:textId="04FF822B" w:rsidR="0072000B" w:rsidRPr="0072000B" w:rsidRDefault="0072000B" w:rsidP="00003C2B">
      <w:pPr>
        <w:spacing w:after="0"/>
        <w:rPr>
          <w:bCs/>
        </w:rPr>
      </w:pPr>
      <w:r w:rsidRPr="0072000B">
        <w:rPr>
          <w:bCs/>
        </w:rPr>
        <w:t>CHARGE Madame le Maire</w:t>
      </w:r>
      <w:r w:rsidR="00003C2B">
        <w:rPr>
          <w:bCs/>
        </w:rPr>
        <w:t> :</w:t>
      </w:r>
    </w:p>
    <w:p w14:paraId="4351B1F9" w14:textId="77777777" w:rsidR="0072000B" w:rsidRPr="0072000B" w:rsidRDefault="0072000B" w:rsidP="00003C2B">
      <w:pPr>
        <w:spacing w:after="0"/>
        <w:ind w:left="284"/>
        <w:rPr>
          <w:bCs/>
        </w:rPr>
      </w:pPr>
      <w:r w:rsidRPr="0072000B">
        <w:rPr>
          <w:bCs/>
        </w:rPr>
        <w:t>- de notifier cette décision aux services préfectoraux</w:t>
      </w:r>
    </w:p>
    <w:p w14:paraId="302583F6" w14:textId="77777777" w:rsidR="0072000B" w:rsidRDefault="0072000B" w:rsidP="00003C2B">
      <w:pPr>
        <w:spacing w:after="0"/>
        <w:ind w:left="284"/>
        <w:rPr>
          <w:bCs/>
        </w:rPr>
      </w:pPr>
      <w:r w:rsidRPr="0072000B">
        <w:rPr>
          <w:bCs/>
        </w:rPr>
        <w:t>- de transmettre l’état 1259 complété à la direction départementale des finances publiques, accompagné d’une copie de la présente décision.</w:t>
      </w:r>
      <w:bookmarkEnd w:id="0"/>
    </w:p>
    <w:p w14:paraId="1972EFAA" w14:textId="77777777" w:rsidR="00003C2B" w:rsidRDefault="00003C2B" w:rsidP="00003C2B">
      <w:pPr>
        <w:spacing w:after="0"/>
        <w:ind w:left="284"/>
        <w:rPr>
          <w:bCs/>
        </w:rPr>
      </w:pPr>
    </w:p>
    <w:p w14:paraId="04B1E853" w14:textId="1B3091B9" w:rsidR="00965675" w:rsidRPr="00003C2B" w:rsidRDefault="00965675" w:rsidP="00003C2B">
      <w:pPr>
        <w:pStyle w:val="Paragraphedeliste"/>
        <w:numPr>
          <w:ilvl w:val="0"/>
          <w:numId w:val="4"/>
        </w:numPr>
        <w:ind w:left="284"/>
        <w:rPr>
          <w:b/>
          <w:sz w:val="28"/>
          <w:szCs w:val="28"/>
        </w:rPr>
      </w:pPr>
      <w:r w:rsidRPr="00447467">
        <w:rPr>
          <w:b/>
          <w:sz w:val="28"/>
          <w:szCs w:val="28"/>
        </w:rPr>
        <w:t xml:space="preserve">Création de poste Adjoint du Patrimoine </w:t>
      </w:r>
    </w:p>
    <w:p w14:paraId="382A7AB1" w14:textId="77777777" w:rsidR="00965675" w:rsidRPr="00965675" w:rsidRDefault="00965675" w:rsidP="00965675">
      <w:pPr>
        <w:spacing w:after="0"/>
        <w:jc w:val="both"/>
        <w:rPr>
          <w:rFonts w:cs="Calibri"/>
        </w:rPr>
      </w:pPr>
      <w:r w:rsidRPr="00965675">
        <w:rPr>
          <w:rFonts w:cs="Calibri"/>
        </w:rPr>
        <w:t>Considérant que les emplois de chaque collectivité sont créés par l’organe délibérant de la collectivité.</w:t>
      </w:r>
    </w:p>
    <w:p w14:paraId="50B1972A" w14:textId="77777777" w:rsidR="00965675" w:rsidRPr="00965675" w:rsidRDefault="00965675" w:rsidP="00965675">
      <w:pPr>
        <w:spacing w:after="0"/>
        <w:jc w:val="both"/>
        <w:rPr>
          <w:rFonts w:cs="Calibri"/>
        </w:rPr>
      </w:pPr>
    </w:p>
    <w:p w14:paraId="48010F4F" w14:textId="7EA69DDB" w:rsidR="00965675" w:rsidRPr="00965675" w:rsidRDefault="00965675" w:rsidP="00965675">
      <w:pPr>
        <w:spacing w:after="0"/>
        <w:jc w:val="both"/>
        <w:rPr>
          <w:rFonts w:cs="Calibri"/>
        </w:rPr>
      </w:pPr>
      <w:r w:rsidRPr="00965675">
        <w:rPr>
          <w:rFonts w:cs="Calibri"/>
        </w:rPr>
        <w:t xml:space="preserve">Considérant qu’il appartient donc au Conseil Municipal de fixer l’effectif des emplois à temps complet et non complet nécessaires au fonctionnement des services, même lorsqu’il s’agit de modifier le tableau des emplois pour permettre des avancements de grade. </w:t>
      </w:r>
    </w:p>
    <w:p w14:paraId="6BB51680" w14:textId="77777777" w:rsidR="00965675" w:rsidRPr="00965675" w:rsidRDefault="00965675" w:rsidP="00965675">
      <w:pPr>
        <w:spacing w:after="0"/>
        <w:jc w:val="both"/>
        <w:rPr>
          <w:rFonts w:cs="Calibri"/>
        </w:rPr>
      </w:pPr>
    </w:p>
    <w:p w14:paraId="1D2D0D4F" w14:textId="77777777" w:rsidR="00965675" w:rsidRPr="00965675" w:rsidRDefault="00965675" w:rsidP="00965675">
      <w:pPr>
        <w:spacing w:after="0"/>
        <w:jc w:val="both"/>
        <w:rPr>
          <w:rFonts w:cs="Calibri"/>
        </w:rPr>
      </w:pPr>
      <w:r w:rsidRPr="00965675">
        <w:rPr>
          <w:rFonts w:cs="Calibri"/>
        </w:rPr>
        <w:t>Considérant la nécessité de créer un emploi d’adjoint au patrimoine, en prévision de l’ouverture de la future médiathèque,</w:t>
      </w:r>
    </w:p>
    <w:p w14:paraId="64645D40" w14:textId="77777777" w:rsidR="00965675" w:rsidRPr="00965675" w:rsidRDefault="00965675" w:rsidP="00965675">
      <w:pPr>
        <w:spacing w:after="0"/>
        <w:jc w:val="both"/>
        <w:rPr>
          <w:rFonts w:cs="Calibri"/>
          <w:b/>
          <w:bCs/>
        </w:rPr>
      </w:pPr>
    </w:p>
    <w:p w14:paraId="1671BA1F" w14:textId="5967B38F" w:rsidR="00965675" w:rsidRPr="00003C2B" w:rsidRDefault="00965675" w:rsidP="00965675">
      <w:pPr>
        <w:spacing w:after="0"/>
        <w:jc w:val="both"/>
        <w:rPr>
          <w:rFonts w:cs="Calibri"/>
        </w:rPr>
      </w:pPr>
      <w:r w:rsidRPr="00003C2B">
        <w:rPr>
          <w:rFonts w:cs="Calibri"/>
        </w:rPr>
        <w:t>Le Conseil Municipal, après en avoir délibéré,</w:t>
      </w:r>
      <w:r w:rsidR="00003C2B" w:rsidRPr="00003C2B">
        <w:rPr>
          <w:rFonts w:cs="Calibri"/>
        </w:rPr>
        <w:t xml:space="preserve"> </w:t>
      </w:r>
      <w:r w:rsidRPr="00003C2B">
        <w:rPr>
          <w:rFonts w:cs="Calibri"/>
        </w:rPr>
        <w:t xml:space="preserve">DECIDE : </w:t>
      </w:r>
    </w:p>
    <w:p w14:paraId="23FDE5B8" w14:textId="77777777" w:rsidR="00965675" w:rsidRPr="00003C2B" w:rsidRDefault="00965675" w:rsidP="00965675">
      <w:pPr>
        <w:spacing w:after="0"/>
        <w:jc w:val="both"/>
        <w:rPr>
          <w:rFonts w:cs="Calibri"/>
        </w:rPr>
      </w:pPr>
      <w:r w:rsidRPr="00003C2B">
        <w:rPr>
          <w:rFonts w:cs="Calibri"/>
        </w:rPr>
        <w:lastRenderedPageBreak/>
        <w:t>- la création d’un emploi d’adjoint au patrimoine, permanent à temps non complet à raison de 28 heures hebdomadaires.</w:t>
      </w:r>
    </w:p>
    <w:p w14:paraId="5E628EFF" w14:textId="77777777" w:rsidR="00965675" w:rsidRPr="00003C2B" w:rsidRDefault="00965675" w:rsidP="00965675">
      <w:pPr>
        <w:spacing w:after="0"/>
        <w:jc w:val="both"/>
        <w:rPr>
          <w:rFonts w:cs="Calibri"/>
        </w:rPr>
      </w:pPr>
      <w:r w:rsidRPr="00003C2B">
        <w:rPr>
          <w:rFonts w:cs="Calibri"/>
        </w:rPr>
        <w:t>Le tableau des emplois est ainsi modifié à compter du 23/04/2026.</w:t>
      </w:r>
    </w:p>
    <w:p w14:paraId="0614AD99" w14:textId="77777777" w:rsidR="00965675" w:rsidRPr="00003C2B" w:rsidRDefault="00965675" w:rsidP="00965675">
      <w:pPr>
        <w:spacing w:after="0"/>
        <w:jc w:val="both"/>
        <w:rPr>
          <w:rFonts w:cs="Calibri"/>
        </w:rPr>
      </w:pPr>
    </w:p>
    <w:p w14:paraId="62547BB4" w14:textId="77777777" w:rsidR="00965675" w:rsidRPr="00003C2B" w:rsidRDefault="00965675" w:rsidP="00965675">
      <w:pPr>
        <w:spacing w:after="0"/>
        <w:jc w:val="both"/>
        <w:rPr>
          <w:rFonts w:cs="Calibri"/>
        </w:rPr>
      </w:pPr>
      <w:r w:rsidRPr="00003C2B">
        <w:rPr>
          <w:rFonts w:cs="Calibri"/>
        </w:rPr>
        <w:t xml:space="preserve">Les crédits nécessaires à la rémunération et aux charges des agents nommés dans les emplois seront inscrits au budget, chapitre12. </w:t>
      </w:r>
    </w:p>
    <w:p w14:paraId="5E1AA046" w14:textId="77777777" w:rsidR="00965675" w:rsidRPr="00003C2B" w:rsidRDefault="00965675" w:rsidP="00965675">
      <w:pPr>
        <w:spacing w:after="0"/>
        <w:jc w:val="both"/>
        <w:rPr>
          <w:rFonts w:cs="Calibri"/>
        </w:rPr>
      </w:pPr>
    </w:p>
    <w:p w14:paraId="3E838F3F" w14:textId="77777777" w:rsidR="00965675" w:rsidRDefault="00965675" w:rsidP="00965675">
      <w:pPr>
        <w:spacing w:after="0"/>
        <w:jc w:val="both"/>
        <w:rPr>
          <w:rFonts w:cs="Calibri"/>
        </w:rPr>
      </w:pPr>
      <w:r w:rsidRPr="00003C2B">
        <w:rPr>
          <w:rFonts w:cs="Calibri"/>
        </w:rPr>
        <w:t>ADOPTÉ à l’unanimité des membres présents</w:t>
      </w:r>
      <w:r w:rsidRPr="00965675">
        <w:rPr>
          <w:rFonts w:cs="Calibri"/>
        </w:rPr>
        <w:t>.</w:t>
      </w:r>
    </w:p>
    <w:p w14:paraId="161EB2D1" w14:textId="77777777" w:rsidR="00965675" w:rsidRDefault="00965675" w:rsidP="00965675">
      <w:pPr>
        <w:spacing w:after="0"/>
        <w:jc w:val="both"/>
        <w:rPr>
          <w:rFonts w:cs="Calibri"/>
        </w:rPr>
      </w:pPr>
    </w:p>
    <w:p w14:paraId="5913CBD0" w14:textId="6AFB4261" w:rsidR="00965675" w:rsidRPr="00447467" w:rsidRDefault="00965675" w:rsidP="00003C2B">
      <w:pPr>
        <w:pStyle w:val="Paragraphedeliste"/>
        <w:numPr>
          <w:ilvl w:val="0"/>
          <w:numId w:val="4"/>
        </w:numPr>
        <w:spacing w:after="0"/>
        <w:ind w:left="426"/>
        <w:jc w:val="both"/>
        <w:rPr>
          <w:b/>
          <w:sz w:val="28"/>
          <w:szCs w:val="28"/>
        </w:rPr>
      </w:pPr>
      <w:r w:rsidRPr="00447467">
        <w:rPr>
          <w:b/>
          <w:sz w:val="28"/>
          <w:szCs w:val="28"/>
        </w:rPr>
        <w:t>MODIFICATION DU RIFSEEP</w:t>
      </w:r>
    </w:p>
    <w:p w14:paraId="26CF9D3B" w14:textId="58383CB8" w:rsidR="00965675" w:rsidRPr="00965675" w:rsidRDefault="00965675" w:rsidP="00965675">
      <w:pPr>
        <w:jc w:val="both"/>
        <w:rPr>
          <w:rFonts w:ascii="Calibri" w:hAnsi="Calibri" w:cs="Calibri"/>
        </w:rPr>
      </w:pPr>
      <w:r w:rsidRPr="00965675">
        <w:rPr>
          <w:rFonts w:ascii="Calibri" w:hAnsi="Calibri" w:cs="Calibri"/>
        </w:rPr>
        <w:t>Madame Le Maire rappelle que par les délibérations 2017-24 du 15/12/2016, 2023-26 du 22/06/2023 et 2025-62 du 12/11/2025 le conseil municipal a délibéré pour la mise en place du RIFSEEP, régime indemnitaire créé pour le personnel de la fonction publique d’état et transposable au personnel territorial qui tient compte des fonctions, des sujétions, de l’expertise et de l’engagement professionnel. Il est composé de 2 parties : l’IFSE et le CIA.</w:t>
      </w:r>
    </w:p>
    <w:p w14:paraId="52760743" w14:textId="50F19395" w:rsidR="00003C2B" w:rsidRDefault="00965675" w:rsidP="00965675">
      <w:pPr>
        <w:jc w:val="both"/>
        <w:rPr>
          <w:rFonts w:ascii="Calibri" w:hAnsi="Calibri" w:cs="Calibri"/>
        </w:rPr>
      </w:pPr>
      <w:r w:rsidRPr="00965675">
        <w:rPr>
          <w:rFonts w:ascii="Calibri" w:hAnsi="Calibri" w:cs="Calibri"/>
        </w:rPr>
        <w:t xml:space="preserve">Madame le Maire explique qu’une modification doit avoir lieu afin d’intégrer le groupe de fonction des agents </w:t>
      </w:r>
      <w:r w:rsidRPr="00965675">
        <w:rPr>
          <w:rFonts w:ascii="Calibri" w:hAnsi="Calibri" w:cs="Calibri"/>
          <w:b/>
          <w:bCs/>
        </w:rPr>
        <w:t>adjoint du Patrimoine</w:t>
      </w:r>
      <w:r w:rsidRPr="00965675">
        <w:rPr>
          <w:rFonts w:ascii="Calibri" w:hAnsi="Calibri" w:cs="Calibri"/>
        </w:rPr>
        <w:t xml:space="preserve"> à la suite de la création du poste d’adjoint du Patrimoine pour le poste créé pour la future médiathèque.</w:t>
      </w:r>
    </w:p>
    <w:p w14:paraId="45EBA7F8" w14:textId="77777777" w:rsidR="001D213D" w:rsidRDefault="001D213D" w:rsidP="00965675">
      <w:pPr>
        <w:jc w:val="both"/>
        <w:rPr>
          <w:rFonts w:ascii="Calibri" w:hAnsi="Calibri" w:cs="Calibri"/>
        </w:rPr>
      </w:pPr>
    </w:p>
    <w:p w14:paraId="3EC9C52E" w14:textId="71B385A1" w:rsidR="0092543C" w:rsidRPr="00447467" w:rsidRDefault="0092543C" w:rsidP="00003C2B">
      <w:pPr>
        <w:pStyle w:val="Paragraphedeliste"/>
        <w:numPr>
          <w:ilvl w:val="0"/>
          <w:numId w:val="4"/>
        </w:numPr>
        <w:spacing w:after="0"/>
        <w:ind w:left="426"/>
        <w:rPr>
          <w:b/>
          <w:sz w:val="28"/>
          <w:szCs w:val="28"/>
        </w:rPr>
      </w:pPr>
      <w:r w:rsidRPr="00447467">
        <w:rPr>
          <w:b/>
          <w:sz w:val="28"/>
          <w:szCs w:val="28"/>
        </w:rPr>
        <w:t>Modification des tarifs des salles et des chapiteaux.</w:t>
      </w:r>
    </w:p>
    <w:p w14:paraId="1F69CE5C" w14:textId="4655B289" w:rsidR="0092543C" w:rsidRPr="00003C2B" w:rsidRDefault="0092543C" w:rsidP="00003C2B">
      <w:pPr>
        <w:spacing w:after="0"/>
      </w:pPr>
      <w:r w:rsidRPr="00003C2B">
        <w:t>Madame le Maire rappelle les délibérations n° 2015-10 relatives à la location des salles et n° 2017-028 relative à la location des chapiteaux.</w:t>
      </w:r>
    </w:p>
    <w:p w14:paraId="670E18F7" w14:textId="00B71106" w:rsidR="0092543C" w:rsidRPr="00003C2B" w:rsidRDefault="0092543C" w:rsidP="00003C2B">
      <w:pPr>
        <w:spacing w:after="0"/>
      </w:pPr>
      <w:r w:rsidRPr="00003C2B">
        <w:t>Elle propose au Conseil municipal d’augmenter les tarifs de location à compter du 1er mai 2026, pour les contrats signés à partir de cette date, comme suit :</w:t>
      </w:r>
    </w:p>
    <w:tbl>
      <w:tblPr>
        <w:tblStyle w:val="TableauGrille5Fonc-Accentuation2"/>
        <w:tblW w:w="0" w:type="auto"/>
        <w:tblLook w:val="04A0" w:firstRow="1" w:lastRow="0" w:firstColumn="1" w:lastColumn="0" w:noHBand="0" w:noVBand="1"/>
      </w:tblPr>
      <w:tblGrid>
        <w:gridCol w:w="3539"/>
        <w:gridCol w:w="2268"/>
        <w:gridCol w:w="2410"/>
      </w:tblGrid>
      <w:tr w:rsidR="0092543C" w14:paraId="6ECA234D" w14:textId="77777777" w:rsidTr="007E26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2E0B784" w14:textId="77777777" w:rsidR="0092543C" w:rsidRPr="001D213D" w:rsidRDefault="0092543C" w:rsidP="007E26B5">
            <w:pPr>
              <w:rPr>
                <w:b w:val="0"/>
                <w:bCs w:val="0"/>
                <w:sz w:val="22"/>
                <w:szCs w:val="22"/>
              </w:rPr>
            </w:pPr>
          </w:p>
        </w:tc>
        <w:tc>
          <w:tcPr>
            <w:tcW w:w="2268" w:type="dxa"/>
            <w:vAlign w:val="center"/>
          </w:tcPr>
          <w:p w14:paraId="21ECF921" w14:textId="77777777" w:rsidR="0092543C" w:rsidRPr="001D213D" w:rsidRDefault="0092543C" w:rsidP="007E26B5">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D213D">
              <w:rPr>
                <w:b w:val="0"/>
                <w:bCs w:val="0"/>
                <w:sz w:val="22"/>
                <w:szCs w:val="22"/>
              </w:rPr>
              <w:t>Soirée / Journée en semaine</w:t>
            </w:r>
          </w:p>
        </w:tc>
        <w:tc>
          <w:tcPr>
            <w:tcW w:w="2410" w:type="dxa"/>
            <w:vAlign w:val="center"/>
          </w:tcPr>
          <w:p w14:paraId="1B1E26FB" w14:textId="77777777" w:rsidR="0092543C" w:rsidRPr="001D213D" w:rsidRDefault="0092543C" w:rsidP="007E26B5">
            <w:pPr>
              <w:jc w:val="center"/>
              <w:cnfStyle w:val="100000000000" w:firstRow="1" w:lastRow="0" w:firstColumn="0" w:lastColumn="0" w:oddVBand="0" w:evenVBand="0" w:oddHBand="0" w:evenHBand="0" w:firstRowFirstColumn="0" w:firstRowLastColumn="0" w:lastRowFirstColumn="0" w:lastRowLastColumn="0"/>
              <w:rPr>
                <w:b w:val="0"/>
                <w:bCs w:val="0"/>
                <w:sz w:val="22"/>
                <w:szCs w:val="22"/>
              </w:rPr>
            </w:pPr>
            <w:r w:rsidRPr="001D213D">
              <w:rPr>
                <w:b w:val="0"/>
                <w:bCs w:val="0"/>
                <w:sz w:val="22"/>
                <w:szCs w:val="22"/>
              </w:rPr>
              <w:t>Week-end</w:t>
            </w:r>
          </w:p>
        </w:tc>
      </w:tr>
      <w:tr w:rsidR="0092543C" w14:paraId="02417EB4" w14:textId="77777777" w:rsidTr="007E26B5">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5BB9430C" w14:textId="77777777" w:rsidR="0092543C" w:rsidRPr="001D213D" w:rsidRDefault="0092543C" w:rsidP="007E26B5">
            <w:pPr>
              <w:jc w:val="center"/>
              <w:rPr>
                <w:b w:val="0"/>
                <w:bCs w:val="0"/>
                <w:sz w:val="22"/>
                <w:szCs w:val="22"/>
              </w:rPr>
            </w:pPr>
            <w:r w:rsidRPr="001D213D">
              <w:rPr>
                <w:b w:val="0"/>
                <w:bCs w:val="0"/>
                <w:sz w:val="22"/>
                <w:szCs w:val="22"/>
              </w:rPr>
              <w:t>Petite salle</w:t>
            </w:r>
          </w:p>
        </w:tc>
        <w:tc>
          <w:tcPr>
            <w:tcW w:w="2268" w:type="dxa"/>
            <w:vAlign w:val="center"/>
          </w:tcPr>
          <w:p w14:paraId="6D4E09C9" w14:textId="77777777" w:rsidR="0092543C" w:rsidRPr="001D213D" w:rsidRDefault="0092543C" w:rsidP="007E26B5">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1D213D">
              <w:rPr>
                <w:b/>
                <w:bCs/>
                <w:sz w:val="22"/>
                <w:szCs w:val="22"/>
              </w:rPr>
              <w:t>70 €</w:t>
            </w:r>
          </w:p>
        </w:tc>
        <w:tc>
          <w:tcPr>
            <w:tcW w:w="2410" w:type="dxa"/>
            <w:vAlign w:val="center"/>
          </w:tcPr>
          <w:p w14:paraId="65DA4978" w14:textId="77777777" w:rsidR="0092543C" w:rsidRPr="001D213D" w:rsidRDefault="0092543C" w:rsidP="007E26B5">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1D213D">
              <w:rPr>
                <w:b/>
                <w:bCs/>
                <w:sz w:val="22"/>
                <w:szCs w:val="22"/>
              </w:rPr>
              <w:t>130 €</w:t>
            </w:r>
          </w:p>
        </w:tc>
      </w:tr>
      <w:tr w:rsidR="0092543C" w14:paraId="3BFB7349" w14:textId="77777777" w:rsidTr="007E26B5">
        <w:trPr>
          <w:trHeight w:val="551"/>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25A66767" w14:textId="77777777" w:rsidR="0092543C" w:rsidRPr="001D213D" w:rsidRDefault="0092543C" w:rsidP="007E26B5">
            <w:pPr>
              <w:jc w:val="center"/>
              <w:rPr>
                <w:b w:val="0"/>
                <w:bCs w:val="0"/>
                <w:sz w:val="22"/>
                <w:szCs w:val="22"/>
              </w:rPr>
            </w:pPr>
            <w:r w:rsidRPr="001D213D">
              <w:rPr>
                <w:b w:val="0"/>
                <w:bCs w:val="0"/>
                <w:sz w:val="22"/>
                <w:szCs w:val="22"/>
              </w:rPr>
              <w:t>Grande salle</w:t>
            </w:r>
          </w:p>
        </w:tc>
        <w:tc>
          <w:tcPr>
            <w:tcW w:w="2268" w:type="dxa"/>
            <w:vAlign w:val="center"/>
          </w:tcPr>
          <w:p w14:paraId="7BD9B41B" w14:textId="77777777" w:rsidR="0092543C" w:rsidRPr="001D213D" w:rsidRDefault="0092543C" w:rsidP="007E26B5">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1D213D">
              <w:rPr>
                <w:b/>
                <w:bCs/>
                <w:sz w:val="22"/>
                <w:szCs w:val="22"/>
              </w:rPr>
              <w:t>90 €</w:t>
            </w:r>
          </w:p>
        </w:tc>
        <w:tc>
          <w:tcPr>
            <w:tcW w:w="2410" w:type="dxa"/>
            <w:vAlign w:val="center"/>
          </w:tcPr>
          <w:p w14:paraId="69DF70E8" w14:textId="77777777" w:rsidR="0092543C" w:rsidRPr="001D213D" w:rsidRDefault="0092543C" w:rsidP="007E26B5">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1D213D">
              <w:rPr>
                <w:b/>
                <w:bCs/>
                <w:sz w:val="22"/>
                <w:szCs w:val="22"/>
              </w:rPr>
              <w:t>180 €</w:t>
            </w:r>
          </w:p>
        </w:tc>
      </w:tr>
      <w:tr w:rsidR="0092543C" w14:paraId="47EED607" w14:textId="77777777" w:rsidTr="007E26B5">
        <w:trPr>
          <w:cnfStyle w:val="000000100000" w:firstRow="0" w:lastRow="0" w:firstColumn="0" w:lastColumn="0" w:oddVBand="0" w:evenVBand="0" w:oddHBand="1"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3539" w:type="dxa"/>
            <w:vAlign w:val="center"/>
          </w:tcPr>
          <w:p w14:paraId="38828CCA" w14:textId="77777777" w:rsidR="0092543C" w:rsidRPr="001D213D" w:rsidRDefault="0092543C" w:rsidP="007E26B5">
            <w:pPr>
              <w:jc w:val="center"/>
              <w:rPr>
                <w:b w:val="0"/>
                <w:bCs w:val="0"/>
                <w:sz w:val="22"/>
                <w:szCs w:val="22"/>
              </w:rPr>
            </w:pPr>
            <w:r w:rsidRPr="001D213D">
              <w:rPr>
                <w:b w:val="0"/>
                <w:bCs w:val="0"/>
                <w:sz w:val="22"/>
                <w:szCs w:val="22"/>
              </w:rPr>
              <w:t>Chapiteaux + petite salle</w:t>
            </w:r>
          </w:p>
        </w:tc>
        <w:tc>
          <w:tcPr>
            <w:tcW w:w="2268" w:type="dxa"/>
            <w:vAlign w:val="center"/>
          </w:tcPr>
          <w:p w14:paraId="035FEFFD" w14:textId="77777777" w:rsidR="0092543C" w:rsidRPr="001D213D" w:rsidRDefault="0092543C" w:rsidP="007E26B5">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1D213D">
              <w:rPr>
                <w:b/>
                <w:bCs/>
                <w:sz w:val="22"/>
                <w:szCs w:val="22"/>
              </w:rPr>
              <w:t>150 €</w:t>
            </w:r>
          </w:p>
        </w:tc>
        <w:tc>
          <w:tcPr>
            <w:tcW w:w="2410" w:type="dxa"/>
            <w:vAlign w:val="center"/>
          </w:tcPr>
          <w:p w14:paraId="12865EC8" w14:textId="77777777" w:rsidR="0092543C" w:rsidRPr="001D213D" w:rsidRDefault="0092543C" w:rsidP="007E26B5">
            <w:pPr>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1D213D">
              <w:rPr>
                <w:b/>
                <w:bCs/>
                <w:sz w:val="22"/>
                <w:szCs w:val="22"/>
              </w:rPr>
              <w:t>300 €</w:t>
            </w:r>
          </w:p>
        </w:tc>
      </w:tr>
    </w:tbl>
    <w:p w14:paraId="6FBF810F" w14:textId="05A82D46" w:rsidR="001D213D" w:rsidRDefault="0092543C" w:rsidP="0092543C">
      <w:pPr>
        <w:rPr>
          <w:sz w:val="24"/>
          <w:szCs w:val="24"/>
        </w:rPr>
      </w:pPr>
      <w:r w:rsidRPr="0092543C">
        <w:rPr>
          <w:sz w:val="24"/>
          <w:szCs w:val="24"/>
        </w:rPr>
        <w:t xml:space="preserve">Après en avoir délibéré, le Conseil municipal vote à l’unanimité les nouveaux tarifs. </w:t>
      </w:r>
    </w:p>
    <w:p w14:paraId="7B9CC417" w14:textId="66B930D5" w:rsidR="0092543C" w:rsidRPr="00447467" w:rsidRDefault="0092543C" w:rsidP="00B37067">
      <w:pPr>
        <w:pStyle w:val="Paragraphedeliste"/>
        <w:numPr>
          <w:ilvl w:val="0"/>
          <w:numId w:val="4"/>
        </w:numPr>
        <w:ind w:left="284"/>
        <w:rPr>
          <w:b/>
          <w:sz w:val="28"/>
          <w:szCs w:val="28"/>
        </w:rPr>
      </w:pPr>
      <w:r w:rsidRPr="00447467">
        <w:rPr>
          <w:b/>
          <w:sz w:val="28"/>
          <w:szCs w:val="28"/>
        </w:rPr>
        <w:t xml:space="preserve">Commission Fêtes et Cérémonies </w:t>
      </w:r>
    </w:p>
    <w:p w14:paraId="53A64663" w14:textId="60F80B72" w:rsidR="0092543C" w:rsidRDefault="0092543C" w:rsidP="008F7222">
      <w:pPr>
        <w:pStyle w:val="Paragraphedeliste"/>
        <w:numPr>
          <w:ilvl w:val="0"/>
          <w:numId w:val="7"/>
        </w:numPr>
        <w:ind w:left="1560"/>
        <w:rPr>
          <w:sz w:val="24"/>
          <w:szCs w:val="24"/>
        </w:rPr>
      </w:pPr>
      <w:r w:rsidRPr="001D213D">
        <w:rPr>
          <w:b/>
          <w:bCs/>
          <w:sz w:val="24"/>
          <w:szCs w:val="24"/>
        </w:rPr>
        <w:t>Cérémonie du 8 mai : déroulé</w:t>
      </w:r>
      <w:r>
        <w:rPr>
          <w:sz w:val="24"/>
          <w:szCs w:val="24"/>
        </w:rPr>
        <w:t xml:space="preserve"> : </w:t>
      </w:r>
    </w:p>
    <w:p w14:paraId="5EDCF5F3" w14:textId="70607068" w:rsidR="0092543C" w:rsidRPr="001D213D" w:rsidRDefault="0092543C" w:rsidP="001D213D">
      <w:pPr>
        <w:pStyle w:val="Paragraphedeliste"/>
        <w:numPr>
          <w:ilvl w:val="3"/>
          <w:numId w:val="3"/>
        </w:numPr>
        <w:ind w:left="1985"/>
      </w:pPr>
      <w:r w:rsidRPr="001D213D">
        <w:t xml:space="preserve">9h30 dépôt d’une gerbe </w:t>
      </w:r>
      <w:proofErr w:type="gramStart"/>
      <w:r w:rsidRPr="001D213D">
        <w:t>au  monument</w:t>
      </w:r>
      <w:proofErr w:type="gramEnd"/>
      <w:r w:rsidRPr="001D213D">
        <w:t xml:space="preserve"> à Bonnétage en hommage à la suppression de l’esclavage</w:t>
      </w:r>
    </w:p>
    <w:p w14:paraId="2D6EB082" w14:textId="6096C808" w:rsidR="0092543C" w:rsidRPr="001D213D" w:rsidRDefault="0092543C" w:rsidP="001D213D">
      <w:pPr>
        <w:pStyle w:val="Paragraphedeliste"/>
        <w:numPr>
          <w:ilvl w:val="3"/>
          <w:numId w:val="3"/>
        </w:numPr>
        <w:ind w:left="1985"/>
      </w:pPr>
      <w:r w:rsidRPr="001D213D">
        <w:t>Messe à 10 heures au Russey</w:t>
      </w:r>
    </w:p>
    <w:p w14:paraId="72EC2727" w14:textId="3793AFED" w:rsidR="0092543C" w:rsidRPr="008F7222" w:rsidRDefault="0092543C" w:rsidP="008F7222">
      <w:pPr>
        <w:pStyle w:val="Paragraphedeliste"/>
        <w:numPr>
          <w:ilvl w:val="3"/>
          <w:numId w:val="3"/>
        </w:numPr>
        <w:ind w:left="1985"/>
      </w:pPr>
      <w:r w:rsidRPr="001D213D">
        <w:t>11h 15 : cérémonie à St Julien</w:t>
      </w:r>
    </w:p>
    <w:p w14:paraId="174DB685" w14:textId="77777777" w:rsidR="00447467" w:rsidRDefault="00447467" w:rsidP="00447467">
      <w:pPr>
        <w:pStyle w:val="Paragraphedeliste"/>
        <w:ind w:left="2410"/>
        <w:rPr>
          <w:sz w:val="24"/>
          <w:szCs w:val="24"/>
        </w:rPr>
      </w:pPr>
    </w:p>
    <w:p w14:paraId="0AD36C5A" w14:textId="16B6072F" w:rsidR="00447467" w:rsidRPr="001D213D" w:rsidRDefault="00447467" w:rsidP="001D213D">
      <w:pPr>
        <w:pStyle w:val="Paragraphedeliste"/>
        <w:numPr>
          <w:ilvl w:val="2"/>
          <w:numId w:val="3"/>
        </w:numPr>
        <w:tabs>
          <w:tab w:val="left" w:pos="1985"/>
        </w:tabs>
        <w:ind w:left="1560"/>
        <w:rPr>
          <w:b/>
          <w:bCs/>
          <w:sz w:val="24"/>
          <w:szCs w:val="24"/>
        </w:rPr>
      </w:pPr>
      <w:r w:rsidRPr="001D213D">
        <w:rPr>
          <w:b/>
          <w:bCs/>
          <w:sz w:val="24"/>
          <w:szCs w:val="24"/>
        </w:rPr>
        <w:t>29 mai : Repas de la fête des Mères</w:t>
      </w:r>
    </w:p>
    <w:p w14:paraId="3546A43E" w14:textId="04603A40" w:rsidR="00447467" w:rsidRPr="001D213D" w:rsidRDefault="008F7222" w:rsidP="001D213D">
      <w:pPr>
        <w:pStyle w:val="Paragraphedeliste"/>
        <w:tabs>
          <w:tab w:val="left" w:pos="1985"/>
        </w:tabs>
        <w:ind w:left="2410"/>
      </w:pPr>
      <w:r>
        <w:t xml:space="preserve"> </w:t>
      </w:r>
    </w:p>
    <w:p w14:paraId="251F9643" w14:textId="12B2AF86" w:rsidR="00447467" w:rsidRPr="001D213D" w:rsidRDefault="00447467" w:rsidP="001D213D">
      <w:pPr>
        <w:pStyle w:val="Paragraphedeliste"/>
        <w:numPr>
          <w:ilvl w:val="2"/>
          <w:numId w:val="3"/>
        </w:numPr>
        <w:tabs>
          <w:tab w:val="left" w:pos="1985"/>
        </w:tabs>
        <w:ind w:left="1560"/>
        <w:rPr>
          <w:b/>
          <w:bCs/>
          <w:sz w:val="24"/>
          <w:szCs w:val="24"/>
        </w:rPr>
      </w:pPr>
      <w:r w:rsidRPr="001D213D">
        <w:rPr>
          <w:b/>
          <w:bCs/>
          <w:sz w:val="24"/>
          <w:szCs w:val="24"/>
        </w:rPr>
        <w:t>90 ans : visite de la commission et cadeaux</w:t>
      </w:r>
    </w:p>
    <w:p w14:paraId="0758952D" w14:textId="65B8FA1E" w:rsidR="00447467" w:rsidRDefault="008F7222" w:rsidP="008F7222">
      <w:pPr>
        <w:pStyle w:val="Paragraphedeliste"/>
        <w:tabs>
          <w:tab w:val="left" w:pos="2410"/>
        </w:tabs>
        <w:ind w:left="1985"/>
      </w:pPr>
      <w:r>
        <w:t xml:space="preserve"> </w:t>
      </w:r>
    </w:p>
    <w:p w14:paraId="77A6E09A" w14:textId="77777777" w:rsidR="00826012" w:rsidRPr="001D213D" w:rsidRDefault="00826012" w:rsidP="00B37067">
      <w:pPr>
        <w:pStyle w:val="Paragraphedeliste"/>
        <w:tabs>
          <w:tab w:val="left" w:pos="2410"/>
        </w:tabs>
        <w:ind w:left="2160"/>
      </w:pPr>
    </w:p>
    <w:p w14:paraId="51409B09" w14:textId="4139581A" w:rsidR="00447467" w:rsidRDefault="00447467" w:rsidP="001D213D">
      <w:pPr>
        <w:pStyle w:val="Paragraphedeliste"/>
        <w:tabs>
          <w:tab w:val="left" w:pos="2410"/>
        </w:tabs>
        <w:ind w:left="1276" w:firstLine="709"/>
        <w:rPr>
          <w:sz w:val="24"/>
          <w:szCs w:val="24"/>
        </w:rPr>
      </w:pPr>
    </w:p>
    <w:p w14:paraId="01713972" w14:textId="28B41E70" w:rsidR="00447467" w:rsidRPr="00826012" w:rsidRDefault="00826012" w:rsidP="00826012">
      <w:pPr>
        <w:pStyle w:val="Paragraphedeliste"/>
        <w:ind w:left="142"/>
        <w:jc w:val="center"/>
        <w:rPr>
          <w:b/>
          <w:bCs/>
          <w:sz w:val="32"/>
          <w:szCs w:val="32"/>
        </w:rPr>
      </w:pPr>
      <w:r w:rsidRPr="00826012">
        <w:rPr>
          <w:b/>
          <w:bCs/>
          <w:sz w:val="32"/>
          <w:szCs w:val="32"/>
        </w:rPr>
        <w:t>Prochaine réunion : Mardi 19 mai 2026à 19h30</w:t>
      </w:r>
    </w:p>
    <w:p w14:paraId="531FDCD7" w14:textId="77777777" w:rsidR="00FA4AB1" w:rsidRDefault="00FA4AB1" w:rsidP="008F7222">
      <w:pPr>
        <w:spacing w:after="0"/>
      </w:pPr>
    </w:p>
    <w:sectPr w:rsidR="00FA4AB1" w:rsidSect="008F7222">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46B45"/>
    <w:multiLevelType w:val="hybridMultilevel"/>
    <w:tmpl w:val="85F44A30"/>
    <w:lvl w:ilvl="0" w:tplc="040C000F">
      <w:start w:val="1"/>
      <w:numFmt w:val="decimal"/>
      <w:lvlText w:val="%1."/>
      <w:lvlJc w:val="left"/>
      <w:pPr>
        <w:ind w:left="1498" w:hanging="360"/>
      </w:pPr>
    </w:lvl>
    <w:lvl w:ilvl="1" w:tplc="040C0019">
      <w:start w:val="1"/>
      <w:numFmt w:val="lowerLetter"/>
      <w:lvlText w:val="%2."/>
      <w:lvlJc w:val="left"/>
      <w:pPr>
        <w:ind w:left="2218" w:hanging="360"/>
      </w:pPr>
    </w:lvl>
    <w:lvl w:ilvl="2" w:tplc="040C001B">
      <w:start w:val="1"/>
      <w:numFmt w:val="lowerRoman"/>
      <w:lvlText w:val="%3."/>
      <w:lvlJc w:val="right"/>
      <w:pPr>
        <w:ind w:left="2938" w:hanging="180"/>
      </w:pPr>
    </w:lvl>
    <w:lvl w:ilvl="3" w:tplc="040C000F">
      <w:start w:val="1"/>
      <w:numFmt w:val="decimal"/>
      <w:lvlText w:val="%4."/>
      <w:lvlJc w:val="left"/>
      <w:pPr>
        <w:ind w:left="3658" w:hanging="360"/>
      </w:pPr>
    </w:lvl>
    <w:lvl w:ilvl="4" w:tplc="040C0019">
      <w:start w:val="1"/>
      <w:numFmt w:val="lowerLetter"/>
      <w:lvlText w:val="%5."/>
      <w:lvlJc w:val="left"/>
      <w:pPr>
        <w:ind w:left="4378" w:hanging="360"/>
      </w:pPr>
    </w:lvl>
    <w:lvl w:ilvl="5" w:tplc="040C001B">
      <w:start w:val="1"/>
      <w:numFmt w:val="lowerRoman"/>
      <w:lvlText w:val="%6."/>
      <w:lvlJc w:val="right"/>
      <w:pPr>
        <w:ind w:left="5098" w:hanging="180"/>
      </w:pPr>
    </w:lvl>
    <w:lvl w:ilvl="6" w:tplc="040C000F">
      <w:start w:val="1"/>
      <w:numFmt w:val="decimal"/>
      <w:lvlText w:val="%7."/>
      <w:lvlJc w:val="left"/>
      <w:pPr>
        <w:ind w:left="5818" w:hanging="360"/>
      </w:pPr>
    </w:lvl>
    <w:lvl w:ilvl="7" w:tplc="040C0019">
      <w:start w:val="1"/>
      <w:numFmt w:val="lowerLetter"/>
      <w:lvlText w:val="%8."/>
      <w:lvlJc w:val="left"/>
      <w:pPr>
        <w:ind w:left="6538" w:hanging="360"/>
      </w:pPr>
    </w:lvl>
    <w:lvl w:ilvl="8" w:tplc="040C001B">
      <w:start w:val="1"/>
      <w:numFmt w:val="lowerRoman"/>
      <w:lvlText w:val="%9."/>
      <w:lvlJc w:val="right"/>
      <w:pPr>
        <w:ind w:left="7258" w:hanging="180"/>
      </w:pPr>
    </w:lvl>
  </w:abstractNum>
  <w:abstractNum w:abstractNumId="1" w15:restartNumberingAfterBreak="0">
    <w:nsid w:val="24E05CFF"/>
    <w:multiLevelType w:val="hybridMultilevel"/>
    <w:tmpl w:val="9050D6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86B3DE4"/>
    <w:multiLevelType w:val="hybridMultilevel"/>
    <w:tmpl w:val="37A06F54"/>
    <w:lvl w:ilvl="0" w:tplc="040C0001">
      <w:start w:val="1"/>
      <w:numFmt w:val="bullet"/>
      <w:lvlText w:val=""/>
      <w:lvlJc w:val="left"/>
      <w:pPr>
        <w:ind w:left="1245" w:hanging="360"/>
      </w:pPr>
      <w:rPr>
        <w:rFonts w:ascii="Symbol" w:hAnsi="Symbol" w:hint="default"/>
      </w:rPr>
    </w:lvl>
    <w:lvl w:ilvl="1" w:tplc="040C0003">
      <w:start w:val="1"/>
      <w:numFmt w:val="bullet"/>
      <w:lvlText w:val="o"/>
      <w:lvlJc w:val="left"/>
      <w:pPr>
        <w:ind w:left="1965" w:hanging="360"/>
      </w:pPr>
      <w:rPr>
        <w:rFonts w:ascii="Courier New" w:hAnsi="Courier New" w:cs="Courier New" w:hint="default"/>
      </w:rPr>
    </w:lvl>
    <w:lvl w:ilvl="2" w:tplc="040C0005">
      <w:start w:val="1"/>
      <w:numFmt w:val="bullet"/>
      <w:lvlText w:val=""/>
      <w:lvlJc w:val="left"/>
      <w:pPr>
        <w:ind w:left="2685" w:hanging="360"/>
      </w:pPr>
      <w:rPr>
        <w:rFonts w:ascii="Wingdings" w:hAnsi="Wingdings" w:hint="default"/>
      </w:rPr>
    </w:lvl>
    <w:lvl w:ilvl="3" w:tplc="040C0001">
      <w:start w:val="1"/>
      <w:numFmt w:val="bullet"/>
      <w:lvlText w:val=""/>
      <w:lvlJc w:val="left"/>
      <w:pPr>
        <w:ind w:left="3405" w:hanging="360"/>
      </w:pPr>
      <w:rPr>
        <w:rFonts w:ascii="Symbol" w:hAnsi="Symbol" w:hint="default"/>
      </w:rPr>
    </w:lvl>
    <w:lvl w:ilvl="4" w:tplc="040C0003">
      <w:start w:val="1"/>
      <w:numFmt w:val="bullet"/>
      <w:lvlText w:val="o"/>
      <w:lvlJc w:val="left"/>
      <w:pPr>
        <w:ind w:left="4125" w:hanging="360"/>
      </w:pPr>
      <w:rPr>
        <w:rFonts w:ascii="Courier New" w:hAnsi="Courier New" w:cs="Courier New" w:hint="default"/>
      </w:rPr>
    </w:lvl>
    <w:lvl w:ilvl="5" w:tplc="040C0005">
      <w:start w:val="1"/>
      <w:numFmt w:val="bullet"/>
      <w:lvlText w:val=""/>
      <w:lvlJc w:val="left"/>
      <w:pPr>
        <w:ind w:left="4845" w:hanging="360"/>
      </w:pPr>
      <w:rPr>
        <w:rFonts w:ascii="Wingdings" w:hAnsi="Wingdings" w:hint="default"/>
      </w:rPr>
    </w:lvl>
    <w:lvl w:ilvl="6" w:tplc="040C0001">
      <w:start w:val="1"/>
      <w:numFmt w:val="bullet"/>
      <w:lvlText w:val=""/>
      <w:lvlJc w:val="left"/>
      <w:pPr>
        <w:ind w:left="5565" w:hanging="360"/>
      </w:pPr>
      <w:rPr>
        <w:rFonts w:ascii="Symbol" w:hAnsi="Symbol" w:hint="default"/>
      </w:rPr>
    </w:lvl>
    <w:lvl w:ilvl="7" w:tplc="040C0003">
      <w:start w:val="1"/>
      <w:numFmt w:val="bullet"/>
      <w:lvlText w:val="o"/>
      <w:lvlJc w:val="left"/>
      <w:pPr>
        <w:ind w:left="6285" w:hanging="360"/>
      </w:pPr>
      <w:rPr>
        <w:rFonts w:ascii="Courier New" w:hAnsi="Courier New" w:cs="Courier New" w:hint="default"/>
      </w:rPr>
    </w:lvl>
    <w:lvl w:ilvl="8" w:tplc="040C0005">
      <w:start w:val="1"/>
      <w:numFmt w:val="bullet"/>
      <w:lvlText w:val=""/>
      <w:lvlJc w:val="left"/>
      <w:pPr>
        <w:ind w:left="7005" w:hanging="360"/>
      </w:pPr>
      <w:rPr>
        <w:rFonts w:ascii="Wingdings" w:hAnsi="Wingdings" w:hint="default"/>
      </w:rPr>
    </w:lvl>
  </w:abstractNum>
  <w:abstractNum w:abstractNumId="3" w15:restartNumberingAfterBreak="0">
    <w:nsid w:val="2C736357"/>
    <w:multiLevelType w:val="hybridMultilevel"/>
    <w:tmpl w:val="A3AA5938"/>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lvl>
    <w:lvl w:ilvl="2" w:tplc="040C0005">
      <w:start w:val="1"/>
      <w:numFmt w:val="bullet"/>
      <w:lvlText w:val=""/>
      <w:lvlJc w:val="left"/>
      <w:pPr>
        <w:ind w:left="2160" w:hanging="360"/>
      </w:pPr>
      <w:rPr>
        <w:rFonts w:ascii="Wingdings" w:hAnsi="Wingdings" w:hint="default"/>
      </w:rPr>
    </w:lvl>
    <w:lvl w:ilvl="3" w:tplc="1034E4AA">
      <w:start w:val="300"/>
      <w:numFmt w:val="bullet"/>
      <w:lvlText w:val="-"/>
      <w:lvlJc w:val="left"/>
      <w:pPr>
        <w:ind w:left="2880" w:hanging="360"/>
      </w:pPr>
      <w:rPr>
        <w:rFonts w:ascii="Aptos" w:eastAsiaTheme="minorHAnsi" w:hAnsi="Aptos"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D1A30EC"/>
    <w:multiLevelType w:val="hybridMultilevel"/>
    <w:tmpl w:val="22C2B2D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1719208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824922">
    <w:abstractNumId w:val="0"/>
  </w:num>
  <w:num w:numId="3" w16cid:durableId="199250770">
    <w:abstractNumId w:val="3"/>
  </w:num>
  <w:num w:numId="4" w16cid:durableId="756444441">
    <w:abstractNumId w:val="1"/>
  </w:num>
  <w:num w:numId="5" w16cid:durableId="1034383606">
    <w:abstractNumId w:val="2"/>
    <w:lvlOverride w:ilvl="0"/>
    <w:lvlOverride w:ilvl="1"/>
    <w:lvlOverride w:ilvl="2"/>
    <w:lvlOverride w:ilvl="3"/>
    <w:lvlOverride w:ilvl="4"/>
    <w:lvlOverride w:ilvl="5"/>
    <w:lvlOverride w:ilvl="6"/>
    <w:lvlOverride w:ilvl="7"/>
    <w:lvlOverride w:ilvl="8"/>
  </w:num>
  <w:num w:numId="6" w16cid:durableId="1898280652">
    <w:abstractNumId w:val="2"/>
  </w:num>
  <w:num w:numId="7" w16cid:durableId="11790834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AB1"/>
    <w:rsid w:val="00003C2B"/>
    <w:rsid w:val="001D213D"/>
    <w:rsid w:val="00224406"/>
    <w:rsid w:val="003106EC"/>
    <w:rsid w:val="00426FFF"/>
    <w:rsid w:val="00447467"/>
    <w:rsid w:val="0072000B"/>
    <w:rsid w:val="00826012"/>
    <w:rsid w:val="008302CD"/>
    <w:rsid w:val="008F7222"/>
    <w:rsid w:val="0092543C"/>
    <w:rsid w:val="00965675"/>
    <w:rsid w:val="009A29AF"/>
    <w:rsid w:val="00B37067"/>
    <w:rsid w:val="00C81C44"/>
    <w:rsid w:val="00E32920"/>
    <w:rsid w:val="00F03BA4"/>
    <w:rsid w:val="00FA4A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5255D"/>
  <w15:chartTrackingRefBased/>
  <w15:docId w15:val="{F7DA583A-E281-4062-B830-AF31411C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A4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A4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A4AB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A4AB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A4AB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A4AB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A4AB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A4AB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A4AB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4AB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A4AB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A4AB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A4AB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A4AB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A4A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A4A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A4A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A4AB1"/>
    <w:rPr>
      <w:rFonts w:eastAsiaTheme="majorEastAsia" w:cstheme="majorBidi"/>
      <w:color w:val="272727" w:themeColor="text1" w:themeTint="D8"/>
    </w:rPr>
  </w:style>
  <w:style w:type="paragraph" w:styleId="Titre">
    <w:name w:val="Title"/>
    <w:basedOn w:val="Normal"/>
    <w:next w:val="Normal"/>
    <w:link w:val="TitreCar"/>
    <w:uiPriority w:val="10"/>
    <w:qFormat/>
    <w:rsid w:val="00FA4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A4A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4A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A4A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A4AB1"/>
    <w:pPr>
      <w:spacing w:before="160"/>
      <w:jc w:val="center"/>
    </w:pPr>
    <w:rPr>
      <w:i/>
      <w:iCs/>
      <w:color w:val="404040" w:themeColor="text1" w:themeTint="BF"/>
    </w:rPr>
  </w:style>
  <w:style w:type="character" w:customStyle="1" w:styleId="CitationCar">
    <w:name w:val="Citation Car"/>
    <w:basedOn w:val="Policepardfaut"/>
    <w:link w:val="Citation"/>
    <w:uiPriority w:val="29"/>
    <w:rsid w:val="00FA4AB1"/>
    <w:rPr>
      <w:i/>
      <w:iCs/>
      <w:color w:val="404040" w:themeColor="text1" w:themeTint="BF"/>
    </w:rPr>
  </w:style>
  <w:style w:type="paragraph" w:styleId="Paragraphedeliste">
    <w:name w:val="List Paragraph"/>
    <w:basedOn w:val="Normal"/>
    <w:uiPriority w:val="34"/>
    <w:qFormat/>
    <w:rsid w:val="00FA4AB1"/>
    <w:pPr>
      <w:ind w:left="720"/>
      <w:contextualSpacing/>
    </w:pPr>
  </w:style>
  <w:style w:type="character" w:styleId="Accentuationintense">
    <w:name w:val="Intense Emphasis"/>
    <w:basedOn w:val="Policepardfaut"/>
    <w:uiPriority w:val="21"/>
    <w:qFormat/>
    <w:rsid w:val="00FA4AB1"/>
    <w:rPr>
      <w:i/>
      <w:iCs/>
      <w:color w:val="0F4761" w:themeColor="accent1" w:themeShade="BF"/>
    </w:rPr>
  </w:style>
  <w:style w:type="paragraph" w:styleId="Citationintense">
    <w:name w:val="Intense Quote"/>
    <w:basedOn w:val="Normal"/>
    <w:next w:val="Normal"/>
    <w:link w:val="CitationintenseCar"/>
    <w:uiPriority w:val="30"/>
    <w:qFormat/>
    <w:rsid w:val="00FA4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A4AB1"/>
    <w:rPr>
      <w:i/>
      <w:iCs/>
      <w:color w:val="0F4761" w:themeColor="accent1" w:themeShade="BF"/>
    </w:rPr>
  </w:style>
  <w:style w:type="character" w:styleId="Rfrenceintense">
    <w:name w:val="Intense Reference"/>
    <w:basedOn w:val="Policepardfaut"/>
    <w:uiPriority w:val="32"/>
    <w:qFormat/>
    <w:rsid w:val="00FA4AB1"/>
    <w:rPr>
      <w:b/>
      <w:bCs/>
      <w:smallCaps/>
      <w:color w:val="0F4761" w:themeColor="accent1" w:themeShade="BF"/>
      <w:spacing w:val="5"/>
    </w:rPr>
  </w:style>
  <w:style w:type="table" w:styleId="TableauGrille5Fonc-Accentuation2">
    <w:name w:val="Grid Table 5 Dark Accent 2"/>
    <w:basedOn w:val="TableauNormal"/>
    <w:uiPriority w:val="50"/>
    <w:rsid w:val="0092543C"/>
    <w:pPr>
      <w:spacing w:after="0" w:line="240" w:lineRule="auto"/>
    </w:pPr>
    <w:rPr>
      <w:rFonts w:ascii="Times New Roman" w:eastAsia="Times New Roman" w:hAnsi="Times New Roman" w:cs="Times New Roman"/>
      <w:kern w:val="0"/>
      <w:sz w:val="20"/>
      <w:szCs w:val="20"/>
      <w:lang w:eastAsia="fr-FR"/>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5432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Bonnetage</dc:creator>
  <cp:keywords/>
  <dc:description/>
  <cp:lastModifiedBy>Mairie de Bonnetage</cp:lastModifiedBy>
  <cp:revision>2</cp:revision>
  <cp:lastPrinted>2026-04-25T09:04:00Z</cp:lastPrinted>
  <dcterms:created xsi:type="dcterms:W3CDTF">2026-04-25T09:04:00Z</dcterms:created>
  <dcterms:modified xsi:type="dcterms:W3CDTF">2026-04-25T09:04:00Z</dcterms:modified>
</cp:coreProperties>
</file>